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73650D" w:rsidR="00E37ED9" w:rsidP="00354B2A" w:rsidRDefault="00B43C11" w14:paraId="19E80ECC" w14:textId="77777777">
      <w:pPr>
        <w:spacing w:after="0" w:line="240" w:lineRule="auto"/>
        <w:ind w:left="-1701" w:right="-1701"/>
        <w:jc w:val="center"/>
        <w:rPr>
          <w:rFonts w:eastAsia="Times New Roman"/>
          <w:b/>
          <w:bCs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F43D8" wp14:editId="52DA97D9">
                <wp:simplePos x="0" y="0"/>
                <wp:positionH relativeFrom="column">
                  <wp:posOffset>-531495</wp:posOffset>
                </wp:positionH>
                <wp:positionV relativeFrom="paragraph">
                  <wp:posOffset>291465</wp:posOffset>
                </wp:positionV>
                <wp:extent cx="4062730" cy="94488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944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6413" w:rsidR="005E553F" w:rsidP="005E553F" w:rsidRDefault="005E553F" w14:paraId="7E807741" w14:textId="77777777">
                            <w:pPr>
                              <w:spacing w:after="120" w:line="240" w:lineRule="auto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2641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Certificado de Auditoria</w:t>
                            </w:r>
                          </w:p>
                          <w:p w:rsidRPr="00226413" w:rsidR="005E553F" w:rsidP="005E553F" w:rsidRDefault="005E553F" w14:paraId="216BFF43" w14:textId="77777777">
                            <w:pPr>
                              <w:spacing w:after="120" w:line="240" w:lineRule="auto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2641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Anual de Contas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FF43D8">
                <v:stroke joinstyle="miter"/>
                <v:path gradientshapeok="t" o:connecttype="rect"/>
              </v:shapetype>
              <v:shape id="Caixa de Texto 2" style="position:absolute;left:0;text-align:left;margin-left:-41.85pt;margin-top:22.95pt;width:319.9pt;height:74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">
                <v:fill opacity="0"/>
                <v:textbox style="mso-fit-shape-to-text:t">
                  <w:txbxContent>
                    <w:p w:rsidRPr="00226413" w:rsidR="005E553F" w:rsidP="005E553F" w:rsidRDefault="005E553F" w14:paraId="7E807741" w14:textId="77777777">
                      <w:pPr>
                        <w:spacing w:after="120" w:line="240" w:lineRule="auto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226413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Certificado de Auditoria</w:t>
                      </w:r>
                    </w:p>
                    <w:p w:rsidRPr="00226413" w:rsidR="005E553F" w:rsidP="005E553F" w:rsidRDefault="005E553F" w14:paraId="216BFF43" w14:textId="77777777">
                      <w:pPr>
                        <w:spacing w:after="120" w:line="240" w:lineRule="auto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226413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Anual de Contas</w:t>
                      </w:r>
                    </w:p>
                  </w:txbxContent>
                </v:textbox>
              </v:shape>
            </w:pict>
          </mc:Fallback>
        </mc:AlternateContent>
      </w:r>
      <w:r w:rsidR="005E553F">
        <w:rPr>
          <w:noProof/>
          <w:lang w:eastAsia="pt-BR"/>
        </w:rPr>
        <w:drawing>
          <wp:inline distT="0" distB="0" distL="0" distR="0" wp14:anchorId="27004CA1" wp14:editId="51888C70">
            <wp:extent cx="7560000" cy="176040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77C5C2" w:rsidP="24598D41" w:rsidRDefault="7877C5C2" w14:paraId="4A36227B" w14:textId="2F3166A2">
      <w:pPr>
        <w:pStyle w:val="Normal"/>
        <w:bidi w:val="0"/>
        <w:spacing w:before="0" w:beforeAutospacing="off" w:after="0" w:afterAutospacing="off" w:line="276" w:lineRule="auto"/>
        <w:ind w:left="0" w:right="26"/>
        <w:jc w:val="center"/>
        <w:rPr>
          <w:rFonts w:ascii="Times New Roman" w:hAnsi="Times New Roman" w:eastAsia="Calibri" w:cs="Times New Roman"/>
          <w:color w:val="4D4D4D"/>
          <w:sz w:val="24"/>
          <w:szCs w:val="24"/>
          <w:lang w:eastAsia="pt-BR"/>
        </w:rPr>
      </w:pPr>
      <w:r w:rsidRPr="24598D41" w:rsidR="7877C5C2">
        <w:rPr>
          <w:rFonts w:ascii="Arial" w:hAnsi="Arial" w:eastAsia="Times New Roman" w:cs="Arial"/>
          <w:color w:val="4D4D4D"/>
          <w:sz w:val="16"/>
          <w:szCs w:val="16"/>
          <w:lang w:eastAsia="pt-BR"/>
        </w:rPr>
        <w:t>Auditoria do Senado Federal</w:t>
      </w:r>
    </w:p>
    <w:p w:rsidR="006256C5" w:rsidP="00E37ED9" w:rsidRDefault="006256C5" w14:paraId="035A2762" w14:textId="77777777">
      <w:pPr>
        <w:spacing w:after="0" w:line="240" w:lineRule="auto"/>
        <w:rPr>
          <w:rFonts w:eastAsia="Times New Roman"/>
          <w:b/>
          <w:bCs/>
          <w:sz w:val="28"/>
          <w:szCs w:val="28"/>
          <w:lang w:eastAsia="pt-BR"/>
        </w:rPr>
      </w:pPr>
    </w:p>
    <w:p w:rsidR="001F6023" w:rsidP="24598D41" w:rsidRDefault="001F6023" w14:paraId="6ED76D38" w14:textId="75F5FAA3">
      <w:pPr>
        <w:spacing w:before="120" w:after="0" w:line="240" w:lineRule="auto"/>
        <w:jc w:val="both"/>
        <w:rPr>
          <w:rFonts w:eastAsia="Calibri"/>
          <w:lang w:eastAsia="pt-BR"/>
        </w:rPr>
      </w:pPr>
      <w:r w:rsidR="001F6023">
        <w:rPr/>
        <w:t xml:space="preserve">Aos </w:t>
      </w:r>
      <w:r w:rsidR="3AC5DB5D">
        <w:rPr/>
        <w:t>responsáveis pelas</w:t>
      </w:r>
      <w:r w:rsidR="001F6023">
        <w:rPr/>
        <w:t xml:space="preserve"> contas do </w:t>
      </w:r>
      <w:r w:rsidR="70CAF651">
        <w:rPr/>
        <w:t>Senado Federal</w:t>
      </w:r>
      <w:r w:rsidR="001F6023">
        <w:rPr/>
        <w:t xml:space="preserve"> referentes ao exercício de 20</w:t>
      </w:r>
      <w:r w:rsidR="00151F1E">
        <w:rPr/>
        <w:t>20</w:t>
      </w:r>
      <w:r w:rsidR="001F6023">
        <w:rPr/>
        <w:t>.</w:t>
      </w:r>
    </w:p>
    <w:p w:rsidR="001F6023" w:rsidP="001F6023" w:rsidRDefault="001F6023" w14:paraId="5985DE60" w14:textId="77777777">
      <w:pPr>
        <w:spacing w:after="0" w:line="240" w:lineRule="auto"/>
        <w:jc w:val="both"/>
        <w:rPr>
          <w:rFonts w:eastAsia="Times New Roman"/>
          <w:lang w:eastAsia="pt-BR"/>
        </w:rPr>
      </w:pPr>
    </w:p>
    <w:p w:rsidR="006256C5" w:rsidP="24598D41" w:rsidRDefault="006256C5" w14:paraId="34A57CFF" w14:textId="46DC3FA1">
      <w:pPr>
        <w:spacing w:after="0" w:line="240" w:lineRule="auto"/>
        <w:rPr>
          <w:rFonts w:eastAsia="Times New Roman"/>
          <w:lang w:eastAsia="pt-BR"/>
        </w:rPr>
      </w:pPr>
      <w:r w:rsidRPr="24598D41" w:rsidR="006256C5">
        <w:rPr>
          <w:rFonts w:eastAsia="Times New Roman"/>
          <w:b w:val="1"/>
          <w:bCs w:val="1"/>
          <w:lang w:eastAsia="pt-BR"/>
        </w:rPr>
        <w:t>Certificado:</w:t>
      </w:r>
      <w:r w:rsidRPr="24598D41" w:rsidR="006256C5">
        <w:rPr>
          <w:rFonts w:eastAsia="Times New Roman"/>
          <w:lang w:eastAsia="pt-BR"/>
        </w:rPr>
        <w:t xml:space="preserve"> </w:t>
      </w:r>
      <w:r w:rsidRPr="24598D41" w:rsidR="39D90182">
        <w:rPr>
          <w:rFonts w:eastAsia="Times New Roman"/>
          <w:lang w:eastAsia="pt-BR"/>
        </w:rPr>
        <w:t>01/2021</w:t>
      </w:r>
    </w:p>
    <w:p w:rsidR="00E37ED9" w:rsidP="00376237" w:rsidRDefault="00E37ED9" w14:paraId="4BB9046C" w14:textId="443CED84">
      <w:pPr>
        <w:spacing w:before="40" w:after="0" w:line="240" w:lineRule="auto"/>
        <w:rPr>
          <w:rFonts w:eastAsia="Times New Roman"/>
          <w:lang w:eastAsia="pt-BR"/>
        </w:rPr>
      </w:pPr>
      <w:r w:rsidRPr="24598D41" w:rsidR="00E37ED9">
        <w:rPr>
          <w:b w:val="1"/>
          <w:bCs w:val="1"/>
        </w:rPr>
        <w:t>Unidade Auditada:</w:t>
      </w:r>
      <w:r w:rsidRPr="24598D41" w:rsidR="00EE5357">
        <w:rPr>
          <w:rFonts w:eastAsia="Times New Roman"/>
          <w:lang w:eastAsia="pt-BR"/>
        </w:rPr>
        <w:t xml:space="preserve"> </w:t>
      </w:r>
      <w:r w:rsidRPr="24598D41" w:rsidR="43AF62B8">
        <w:rPr>
          <w:rFonts w:eastAsia="Times New Roman"/>
          <w:lang w:eastAsia="pt-BR"/>
        </w:rPr>
        <w:t>Senado Federal</w:t>
      </w:r>
    </w:p>
    <w:p w:rsidRPr="00066392" w:rsidR="00E37ED9" w:rsidP="00376237" w:rsidRDefault="00E37ED9" w14:paraId="7CE788E4" w14:textId="62C31923">
      <w:pPr>
        <w:spacing w:before="40" w:after="0" w:line="240" w:lineRule="auto"/>
      </w:pPr>
      <w:r w:rsidRPr="00E612FA">
        <w:rPr>
          <w:rFonts w:eastAsia="Times New Roman"/>
          <w:b/>
          <w:lang w:eastAsia="pt-BR"/>
        </w:rPr>
        <w:t>Exercício:</w:t>
      </w:r>
      <w:r w:rsidRPr="00066392">
        <w:rPr>
          <w:rFonts w:eastAsia="Times New Roman"/>
          <w:lang w:eastAsia="pt-BR"/>
        </w:rPr>
        <w:t xml:space="preserve"> </w:t>
      </w:r>
      <w:r w:rsidR="00D64021">
        <w:rPr>
          <w:rFonts w:eastAsia="Times New Roman"/>
          <w:lang w:eastAsia="pt-BR"/>
        </w:rPr>
        <w:t>20</w:t>
      </w:r>
      <w:r w:rsidR="00151F1E">
        <w:rPr>
          <w:rFonts w:eastAsia="Times New Roman"/>
          <w:lang w:eastAsia="pt-BR"/>
        </w:rPr>
        <w:t>20</w:t>
      </w:r>
    </w:p>
    <w:p w:rsidR="009D1349" w:rsidP="00E37ED9" w:rsidRDefault="009D1349" w14:paraId="597B96DA" w14:textId="77777777">
      <w:pPr>
        <w:spacing w:after="0" w:line="240" w:lineRule="auto"/>
        <w:jc w:val="both"/>
        <w:rPr>
          <w:rFonts w:eastAsia="Times New Roman"/>
          <w:lang w:eastAsia="pt-BR"/>
        </w:rPr>
      </w:pPr>
    </w:p>
    <w:p w:rsidRPr="00286D55" w:rsidR="004F7134" w:rsidP="24598D41" w:rsidRDefault="004F7134" w14:paraId="30D44433" w14:textId="70260D04">
      <w:pPr>
        <w:keepNext/>
        <w:keepLines/>
        <w:spacing w:before="120" w:after="0" w:line="240" w:lineRule="auto"/>
        <w:jc w:val="both"/>
        <w:outlineLvl w:val="1"/>
        <w:rPr>
          <w:b w:val="1"/>
          <w:bCs w:val="1"/>
        </w:rPr>
      </w:pPr>
      <w:bookmarkStart w:name="_Toc42865770" w:id="0"/>
      <w:r w:rsidRPr="24598D41" w:rsidR="004F7134">
        <w:rPr>
          <w:b w:val="1"/>
          <w:bCs w:val="1"/>
        </w:rPr>
        <w:t>Opinião</w:t>
      </w:r>
      <w:r w:rsidRPr="24598D41" w:rsidR="45470767">
        <w:rPr>
          <w:b w:val="1"/>
          <w:bCs w:val="1"/>
        </w:rPr>
        <w:t xml:space="preserve"> </w:t>
      </w:r>
      <w:r w:rsidRPr="24598D41" w:rsidR="004F7134">
        <w:rPr>
          <w:b w:val="1"/>
          <w:bCs w:val="1"/>
        </w:rPr>
        <w:t>sobre as demonstrações contábeis</w:t>
      </w:r>
      <w:bookmarkEnd w:id="0"/>
    </w:p>
    <w:p w:rsidRPr="00286D55" w:rsidR="004F7134" w:rsidP="24598D41" w:rsidRDefault="004F7134" w14:paraId="5A491AEA" w14:textId="3EEBCEC5">
      <w:pPr>
        <w:pStyle w:val="Normal"/>
        <w:spacing w:before="120" w:after="0" w:line="240" w:lineRule="auto"/>
        <w:ind w:hanging="11"/>
        <w:jc w:val="both"/>
      </w:pPr>
      <w:r w:rsidR="004F7134">
        <w:rPr/>
        <w:t xml:space="preserve">Examinamos, </w:t>
      </w:r>
      <w:r w:rsidR="44074562">
        <w:rPr/>
        <w:t>ao amparo da competência estabelecida</w:t>
      </w:r>
      <w:r w:rsidR="004F7134">
        <w:rPr/>
        <w:t xml:space="preserve"> </w:t>
      </w:r>
      <w:r w:rsidR="051E276E">
        <w:rPr/>
        <w:t>n</w:t>
      </w:r>
      <w:r w:rsidR="004F7134">
        <w:rPr/>
        <w:t>o art. 74, inc</w:t>
      </w:r>
      <w:r w:rsidR="00A57F57">
        <w:rPr/>
        <w:t>iso</w:t>
      </w:r>
      <w:r w:rsidR="004F7134">
        <w:rPr/>
        <w:t xml:space="preserve"> IV,</w:t>
      </w:r>
      <w:r w:rsidR="004F7134">
        <w:rPr/>
        <w:t xml:space="preserve"> </w:t>
      </w:r>
      <w:r w:rsidR="723E9227">
        <w:rPr/>
        <w:t xml:space="preserve">da Constituição Federal, e </w:t>
      </w:r>
      <w:r w:rsidR="00EA7B56">
        <w:rPr/>
        <w:t>nos termos do art. 50, inciso II e do art. 9°, inciso III, da Lei 8.443 de 16</w:t>
      </w:r>
      <w:r w:rsidR="00151F1E">
        <w:rPr/>
        <w:t>.</w:t>
      </w:r>
      <w:r w:rsidR="00EA7B56">
        <w:rPr/>
        <w:t>07</w:t>
      </w:r>
      <w:r w:rsidR="00151F1E">
        <w:rPr/>
        <w:t>.</w:t>
      </w:r>
      <w:r w:rsidR="00EA7B56">
        <w:rPr/>
        <w:t>1992,</w:t>
      </w:r>
      <w:r w:rsidR="63B39EE3">
        <w:rPr/>
        <w:t xml:space="preserve"> e no art. 13, § 2º, da Instrução Normativa – TCU 84/2020,</w:t>
      </w:r>
      <w:r w:rsidR="00EA7B56">
        <w:rPr/>
        <w:t xml:space="preserve"> </w:t>
      </w:r>
      <w:r w:rsidR="004F7134">
        <w:rPr/>
        <w:t xml:space="preserve">as demonstrações contábeis do </w:t>
      </w:r>
      <w:r w:rsidR="380B11F5">
        <w:rPr/>
        <w:t>Senado Federal</w:t>
      </w:r>
      <w:r w:rsidR="00A57F57">
        <w:rPr/>
        <w:t>,</w:t>
      </w:r>
      <w:r w:rsidR="004F7134">
        <w:rPr/>
        <w:t xml:space="preserve"> </w:t>
      </w:r>
      <w:r w:rsidR="004F7134">
        <w:rPr/>
        <w:t>compreendendo</w:t>
      </w:r>
      <w:r w:rsidR="0412B7A5">
        <w:rPr/>
        <w:t xml:space="preserve"> diretamente</w:t>
      </w:r>
      <w:r w:rsidR="0BDB117F">
        <w:rPr/>
        <w:t xml:space="preserve"> </w:t>
      </w:r>
      <w:r w:rsidR="004F7134">
        <w:rPr/>
        <w:t>o</w:t>
      </w:r>
      <w:r w:rsidR="004F7134">
        <w:rPr/>
        <w:t xml:space="preserve"> </w:t>
      </w:r>
      <w:r w:rsidR="071E9246">
        <w:rPr/>
        <w:t>B</w:t>
      </w:r>
      <w:r w:rsidR="004F7134">
        <w:rPr/>
        <w:t>alanço</w:t>
      </w:r>
      <w:r w:rsidR="5994531E">
        <w:rPr/>
        <w:t xml:space="preserve"> Orçamentário</w:t>
      </w:r>
      <w:r w:rsidR="1CAACDE2">
        <w:rPr/>
        <w:t xml:space="preserve"> e</w:t>
      </w:r>
      <w:r w:rsidR="49DF38C0">
        <w:rPr/>
        <w:t xml:space="preserve"> a</w:t>
      </w:r>
      <w:r w:rsidR="49DF38C0">
        <w:rPr/>
        <w:t xml:space="preserve"> Demonstraç</w:t>
      </w:r>
      <w:r w:rsidR="0B56DF5D">
        <w:rPr/>
        <w:t>ão</w:t>
      </w:r>
      <w:r w:rsidR="49DF38C0">
        <w:rPr/>
        <w:t xml:space="preserve"> das Variações Patrimoniais e, indiretamente</w:t>
      </w:r>
      <w:r w:rsidR="0DF0E4A8">
        <w:rPr/>
        <w:t xml:space="preserve">, os seus reflexos </w:t>
      </w:r>
      <w:r w:rsidR="46CA75B8">
        <w:rPr/>
        <w:t>n</w:t>
      </w:r>
      <w:r w:rsidR="35A56AE7">
        <w:rPr/>
        <w:t>os Balanços</w:t>
      </w:r>
      <w:r w:rsidR="5994531E">
        <w:rPr/>
        <w:t xml:space="preserve"> Financeiro e Patrimonial </w:t>
      </w:r>
      <w:r w:rsidR="004F7134">
        <w:rPr/>
        <w:t xml:space="preserve">em 31 de dezembro de </w:t>
      </w:r>
      <w:r w:rsidR="2783CBF8">
        <w:rPr/>
        <w:t>2020, as</w:t>
      </w:r>
      <w:r w:rsidR="6CC07F10">
        <w:rPr/>
        <w:t xml:space="preserve"> Demonstraç</w:t>
      </w:r>
      <w:r w:rsidR="6CC07F10">
        <w:rPr/>
        <w:t xml:space="preserve">ões das Variações </w:t>
      </w:r>
      <w:r w:rsidR="6504C740">
        <w:rPr/>
        <w:t>dos Fluxos de Caixa e das Mutações do Patrimônio Líquido</w:t>
      </w:r>
      <w:r w:rsidR="004F7134">
        <w:rPr/>
        <w:t xml:space="preserve"> para o exercício findo nessa data</w:t>
      </w:r>
      <w:r w:rsidR="3FDFF365">
        <w:rPr/>
        <w:t>. Além disso, examin</w:t>
      </w:r>
      <w:r w:rsidR="05CE8660">
        <w:rPr/>
        <w:t>aram</w:t>
      </w:r>
      <w:r w:rsidR="3FDFF365">
        <w:rPr/>
        <w:t>-se</w:t>
      </w:r>
      <w:r w:rsidR="3A4C3A23">
        <w:rPr/>
        <w:t xml:space="preserve"> </w:t>
      </w:r>
      <w:r w:rsidR="546F7033">
        <w:rPr/>
        <w:t xml:space="preserve">as </w:t>
      </w:r>
      <w:r w:rsidR="004F7134">
        <w:rPr/>
        <w:t>notas explicativas, incluindo o resumo das principais políticas contábeis</w:t>
      </w:r>
      <w:r w:rsidR="5DEE59A5">
        <w:rPr/>
        <w:t>.</w:t>
      </w:r>
    </w:p>
    <w:p w:rsidRPr="00286D55" w:rsidR="004F7134" w:rsidP="004F7134" w:rsidRDefault="004F7134" w14:paraId="419A5A4D" w14:textId="0B07F53D">
      <w:pPr>
        <w:spacing w:before="120" w:after="0" w:line="240" w:lineRule="auto"/>
        <w:ind w:hanging="11"/>
        <w:jc w:val="both"/>
      </w:pPr>
      <w:r w:rsidR="004F7134">
        <w:rPr/>
        <w:t xml:space="preserve">Em nossa opinião, </w:t>
      </w:r>
      <w:r w:rsidR="5FC17D3A">
        <w:rPr/>
        <w:t xml:space="preserve">considerando </w:t>
      </w:r>
      <w:r w:rsidR="004F7134">
        <w:rPr/>
        <w:t xml:space="preserve">os assuntos discutidos no parágrafo a seguir intitulado “Base para opinião sobre as demonstrações contábeis”, as demonstrações </w:t>
      </w:r>
      <w:r w:rsidR="004F7134">
        <w:rPr/>
        <w:t>acima referidas apresentam adequadamente, em todos os aspectos relevantes, a posição patrimonial e financeira da entidade em 31 de dezembro de 20</w:t>
      </w:r>
      <w:r w:rsidR="00151F1E">
        <w:rPr/>
        <w:t>20</w:t>
      </w:r>
      <w:r w:rsidR="004F7134">
        <w:rPr/>
        <w:t xml:space="preserve">, de acordo com as práticas contábeis </w:t>
      </w:r>
      <w:r w:rsidR="004F7134">
        <w:rPr/>
        <w:t>adotadas no Brasil aplicadas ao setor público.</w:t>
      </w:r>
    </w:p>
    <w:p w:rsidR="00A57F57" w:rsidP="24598D41" w:rsidRDefault="00A57F57" w14:paraId="282F5053" w14:textId="4F74B0F5">
      <w:pPr>
        <w:keepNext/>
        <w:keepLines/>
        <w:spacing w:before="120" w:after="0" w:line="240" w:lineRule="auto"/>
        <w:jc w:val="both"/>
        <w:outlineLvl w:val="1"/>
        <w:rPr>
          <w:b w:val="1"/>
          <w:bCs w:val="1"/>
        </w:rPr>
      </w:pPr>
      <w:bookmarkStart w:name="_Toc42865771" w:id="1"/>
      <w:r w:rsidRPr="5B606F5D" w:rsidR="00A57F57">
        <w:rPr>
          <w:b w:val="1"/>
          <w:bCs w:val="1"/>
        </w:rPr>
        <w:t>Base para opinião sobre as demonstrações contábeis</w:t>
      </w:r>
      <w:bookmarkEnd w:id="1"/>
    </w:p>
    <w:p w:rsidRPr="00AC1935" w:rsidR="00A57F57" w:rsidP="5B606F5D" w:rsidRDefault="00A57F57" w14:paraId="3A293F8B" w14:textId="4E864755">
      <w:pPr>
        <w:spacing w:before="120" w:after="0" w:line="240" w:lineRule="auto"/>
        <w:jc w:val="both"/>
        <w:rPr>
          <w:rFonts w:eastAsia="Times New Roman"/>
          <w:lang w:eastAsia="pt-BR"/>
        </w:rPr>
      </w:pPr>
      <w:r w:rsidRPr="5B606F5D" w:rsidR="6C28EB6A">
        <w:rPr>
          <w:rFonts w:eastAsia="Times New Roman"/>
          <w:lang w:eastAsia="pt-BR"/>
        </w:rPr>
        <w:t xml:space="preserve">Não foram identificados, nas demonstrações contábeis acima referidas, distorções </w:t>
      </w:r>
      <w:r w:rsidRPr="5B606F5D" w:rsidR="6C28EB6A">
        <w:rPr>
          <w:rFonts w:eastAsia="Times New Roman"/>
          <w:lang w:eastAsia="pt-BR"/>
        </w:rPr>
        <w:t xml:space="preserve">relevantes, tampouco foram verificadas distorções com efeitos </w:t>
      </w:r>
      <w:r w:rsidRPr="5B606F5D" w:rsidR="6C28EB6A">
        <w:rPr>
          <w:rFonts w:eastAsia="Times New Roman"/>
          <w:lang w:eastAsia="pt-BR"/>
        </w:rPr>
        <w:t>generalizados.</w:t>
      </w:r>
    </w:p>
    <w:bookmarkStart w:name="_Toc42865772" w:id="2"/>
    <w:p w:rsidRPr="00286D55" w:rsidR="001F6023" w:rsidP="24598D41" w:rsidRDefault="001F6023" w14:paraId="4F7B00CB" w14:textId="0AD151D2">
      <w:pPr>
        <w:keepNext/>
        <w:keepLines/>
        <w:spacing w:before="120" w:after="0" w:line="240" w:lineRule="auto"/>
        <w:jc w:val="both"/>
        <w:outlineLvl w:val="1"/>
        <w:rPr>
          <w:b w:val="1"/>
          <w:bCs w:val="1"/>
        </w:rPr>
      </w:pPr>
      <w:r w:rsidRPr="5B606F5D" w:rsidR="001F6023">
        <w:rPr>
          <w:b w:val="1"/>
          <w:bCs w:val="1"/>
        </w:rPr>
        <w:t xml:space="preserve">Opinião </w:t>
      </w:r>
      <w:r w:rsidRPr="5B606F5D" w:rsidR="06DCA76B">
        <w:rPr>
          <w:b w:val="1"/>
          <w:bCs w:val="1"/>
        </w:rPr>
        <w:t>s</w:t>
      </w:r>
      <w:r w:rsidRPr="5B606F5D" w:rsidR="001F6023">
        <w:rPr>
          <w:b w:val="1"/>
          <w:bCs w:val="1"/>
        </w:rPr>
        <w:t>obre a conformidade das transações subjacentes</w:t>
      </w:r>
      <w:bookmarkEnd w:id="2"/>
    </w:p>
    <w:p w:rsidRPr="00286D55" w:rsidR="001F6023" w:rsidP="001F6023" w:rsidRDefault="001F6023" w14:paraId="3CDA406A" w14:textId="0616FEFA">
      <w:pPr>
        <w:spacing w:before="120" w:after="0" w:line="240" w:lineRule="auto"/>
        <w:ind w:right="21"/>
        <w:jc w:val="both"/>
      </w:pPr>
      <w:r w:rsidR="001F6023">
        <w:rPr/>
        <w:t xml:space="preserve">Em nossa opinião, as transações subjacentes às demonstrações contábeis </w:t>
      </w:r>
      <w:r w:rsidR="001F6023">
        <w:rPr/>
        <w:t>acima referidas e os atos de gestão relevantes dos responsáveis estão em conformidade, em todos os aspectos relevantes, com as leis e regulamentos aplicáveis e com os princípios de administração pública que regem a gestão financeira responsável e a conduta de agentes públicos.</w:t>
      </w:r>
    </w:p>
    <w:p w:rsidRPr="00286D55" w:rsidR="001F6023" w:rsidP="24598D41" w:rsidRDefault="001F6023" w14:paraId="1BE60617" w14:textId="7829025C">
      <w:pPr>
        <w:keepNext/>
        <w:keepLines/>
        <w:spacing w:before="120" w:after="0" w:line="240" w:lineRule="auto"/>
        <w:jc w:val="both"/>
        <w:outlineLvl w:val="1"/>
        <w:rPr>
          <w:b w:val="1"/>
          <w:bCs w:val="1"/>
        </w:rPr>
      </w:pPr>
      <w:bookmarkStart w:name="_Toc42865773" w:id="3"/>
      <w:r w:rsidRPr="24598D41" w:rsidR="001F6023">
        <w:rPr>
          <w:b w:val="1"/>
          <w:bCs w:val="1"/>
        </w:rPr>
        <w:t>Base para opinião sobre a conformidade das transações subjacentes</w:t>
      </w:r>
      <w:bookmarkEnd w:id="3"/>
    </w:p>
    <w:p w:rsidRPr="00286D55" w:rsidR="001F6023" w:rsidP="001F6023" w:rsidRDefault="001F6023" w14:paraId="62846331" w14:textId="5B6FB65F">
      <w:pPr>
        <w:spacing w:before="120" w:after="0" w:line="240" w:lineRule="auto"/>
        <w:jc w:val="both"/>
      </w:pPr>
      <w:r w:rsidR="3C2C536D">
        <w:rPr/>
        <w:t>Não f</w:t>
      </w:r>
      <w:r w:rsidR="001F6023">
        <w:rPr/>
        <w:t xml:space="preserve">oram identificados desvios de conformidade relevantes, tomados individualmente ou em conjunto, </w:t>
      </w:r>
      <w:r w:rsidR="644F142D">
        <w:rPr/>
        <w:t xml:space="preserve">tampouco </w:t>
      </w:r>
      <w:r w:rsidR="599F7915">
        <w:rPr/>
        <w:t xml:space="preserve">com efeitos </w:t>
      </w:r>
      <w:r w:rsidR="001F6023">
        <w:rPr/>
        <w:t>generalizad</w:t>
      </w:r>
      <w:r w:rsidR="5F65CE8C">
        <w:rPr/>
        <w:t>o</w:t>
      </w:r>
      <w:r w:rsidR="001F6023">
        <w:rPr/>
        <w:t>s nas transações subjacentes às demonstrações contábeis acima referidas.</w:t>
      </w:r>
    </w:p>
    <w:p w:rsidRPr="00286D55" w:rsidR="0036047B" w:rsidP="0036047B" w:rsidRDefault="0036047B" w14:paraId="6F52FF54" w14:textId="77777777">
      <w:pPr>
        <w:keepNext/>
        <w:keepLines/>
        <w:spacing w:before="120" w:after="0" w:line="240" w:lineRule="auto"/>
        <w:jc w:val="both"/>
        <w:outlineLvl w:val="1"/>
        <w:rPr>
          <w:b/>
        </w:rPr>
      </w:pPr>
      <w:bookmarkStart w:name="_Toc42865774" w:id="4"/>
      <w:r w:rsidRPr="00286D55">
        <w:rPr>
          <w:b/>
        </w:rPr>
        <w:t>Bases para as opiniões</w:t>
      </w:r>
      <w:bookmarkEnd w:id="4"/>
    </w:p>
    <w:p w:rsidRPr="00286D55" w:rsidR="0036047B" w:rsidP="0036047B" w:rsidRDefault="0036047B" w14:paraId="5E1A2DA7" w14:textId="77777777">
      <w:pPr>
        <w:spacing w:before="120" w:after="0" w:line="240" w:lineRule="auto"/>
        <w:jc w:val="both"/>
      </w:pPr>
      <w:r w:rsidRPr="00286D55">
        <w:t>Nossa auditoria foi conduzida de acordo com as normas brasileiras e internacionais de auditoria aplicáveis ao setor público. Nossas responsabilidades, em conformidade com tais normas, estão descritas na seção intitulada “Responsabilidades do auditor pela auditoria das demonstrações</w:t>
      </w:r>
      <w:r>
        <w:t> </w:t>
      </w:r>
      <w:r w:rsidRPr="00286D55">
        <w:t>contábeis”.</w:t>
      </w:r>
    </w:p>
    <w:p w:rsidR="0036047B" w:rsidP="0036047B" w:rsidRDefault="0036047B" w14:paraId="2D564E7D" w14:textId="40F4042F">
      <w:pPr>
        <w:spacing w:before="120" w:after="0" w:line="240" w:lineRule="auto"/>
        <w:jc w:val="both"/>
      </w:pPr>
      <w:r w:rsidR="0036047B">
        <w:rPr/>
        <w:t xml:space="preserve">Somos independentes em relação </w:t>
      </w:r>
      <w:r w:rsidR="3F2F77E5">
        <w:rPr/>
        <w:t>à Administração do</w:t>
      </w:r>
      <w:r w:rsidR="0036047B">
        <w:rPr/>
        <w:t xml:space="preserve"> </w:t>
      </w:r>
      <w:r w:rsidR="4E11A9B6">
        <w:rPr/>
        <w:t>Senado Federal</w:t>
      </w:r>
      <w:r w:rsidR="0036047B">
        <w:rPr/>
        <w:t>, de acordo com os princípios éticos relevantes previstos nas Normas Internacionais das Entidades Fiscalizadoras Superiores (ISSAI)</w:t>
      </w:r>
      <w:r w:rsidR="0036047B">
        <w:rPr/>
        <w:t xml:space="preserve"> e</w:t>
      </w:r>
      <w:r w:rsidR="0036047B">
        <w:rPr/>
        <w:t xml:space="preserve"> nas normas profissionais emitidas pelo Conselho Federal de Contabilidade</w:t>
      </w:r>
      <w:r w:rsidR="0036047B">
        <w:rPr/>
        <w:t xml:space="preserve"> (CFC)</w:t>
      </w:r>
      <w:r w:rsidR="0036047B">
        <w:rPr/>
        <w:t xml:space="preserve">, e cumprimos com as demais responsabilidades éticas de acordo com essas normas. Acreditamos que a evidência de auditoria obtida é suficiente e apropriada para fundamentar nossa opinião </w:t>
      </w:r>
      <w:r w:rsidR="0036047B">
        <w:rPr/>
        <w:t xml:space="preserve">sobre </w:t>
      </w:r>
      <w:r w:rsidR="0036047B">
        <w:rPr/>
        <w:t>as demonstrações contábeis acima referidas e nossa opinião sobre a conformidade das transações subjacentes.</w:t>
      </w:r>
    </w:p>
    <w:p w:rsidRPr="004F0AC2" w:rsidR="0036047B" w:rsidP="0036047B" w:rsidRDefault="0036047B" w14:paraId="630DDDAF" w14:textId="77777777">
      <w:pPr>
        <w:keepNext/>
        <w:keepLines/>
        <w:spacing w:before="120" w:after="0" w:line="240" w:lineRule="auto"/>
        <w:jc w:val="both"/>
        <w:outlineLvl w:val="1"/>
        <w:rPr>
          <w:b/>
        </w:rPr>
      </w:pPr>
      <w:bookmarkStart w:name="_Toc42865775" w:id="5"/>
      <w:r w:rsidRPr="004F0AC2">
        <w:rPr>
          <w:b/>
        </w:rPr>
        <w:t>Outros assuntos</w:t>
      </w:r>
      <w:bookmarkEnd w:id="5"/>
    </w:p>
    <w:p w:rsidRPr="004F0AC2" w:rsidR="0036047B" w:rsidP="5B606F5D" w:rsidRDefault="0036047B" w14:paraId="25FE7F55" w14:textId="3965521D">
      <w:pPr>
        <w:spacing w:before="120" w:after="0" w:line="240" w:lineRule="auto"/>
        <w:jc w:val="both"/>
        <w:rPr>
          <w:color w:val="FFFF00"/>
        </w:rPr>
      </w:pPr>
      <w:r w:rsidR="0036047B">
        <w:rPr/>
        <w:t>As</w:t>
      </w:r>
      <w:r w:rsidR="0036047B">
        <w:rPr/>
        <w:t xml:space="preserve"> demonstrações contábeis </w:t>
      </w:r>
      <w:r w:rsidR="0036047B">
        <w:rPr/>
        <w:t>da entidade</w:t>
      </w:r>
      <w:r w:rsidR="0036047B">
        <w:rPr/>
        <w:t xml:space="preserve"> para o exercício findo em 3</w:t>
      </w:r>
      <w:r w:rsidR="0036047B">
        <w:rPr/>
        <w:t>1/12/</w:t>
      </w:r>
      <w:r w:rsidR="0036047B">
        <w:rPr/>
        <w:t>201</w:t>
      </w:r>
      <w:r w:rsidR="0010281C">
        <w:rPr/>
        <w:t>9</w:t>
      </w:r>
      <w:r w:rsidR="0036047B">
        <w:rPr/>
        <w:t xml:space="preserve"> não foram auditad</w:t>
      </w:r>
      <w:r w:rsidR="0036047B">
        <w:rPr/>
        <w:t>a</w:t>
      </w:r>
      <w:r w:rsidR="0036047B">
        <w:rPr/>
        <w:t xml:space="preserve">s. Contudo, obtivemos evidência de auditoria apropriada e suficiente sobre se os saldos iniciais continham distorções que </w:t>
      </w:r>
      <w:r w:rsidR="0036047B">
        <w:rPr/>
        <w:t xml:space="preserve">poderiam </w:t>
      </w:r>
      <w:r w:rsidR="0036047B">
        <w:rPr/>
        <w:t>afeta</w:t>
      </w:r>
      <w:r w:rsidR="0036047B">
        <w:rPr/>
        <w:t>r</w:t>
      </w:r>
      <w:r w:rsidR="0036047B">
        <w:rPr/>
        <w:t xml:space="preserve"> de forma relevante as demonstrações contábeis </w:t>
      </w:r>
      <w:r w:rsidR="0036047B">
        <w:rPr/>
        <w:t>de 31/12/20</w:t>
      </w:r>
      <w:r w:rsidR="0010281C">
        <w:rPr/>
        <w:t>20</w:t>
      </w:r>
      <w:r w:rsidR="0036047B">
        <w:rPr/>
        <w:t>.</w:t>
      </w:r>
    </w:p>
    <w:p w:rsidRPr="009B2B80" w:rsidR="0036047B" w:rsidP="0036047B" w:rsidRDefault="0036047B" w14:paraId="2F67A3EA" w14:textId="1AC5777D">
      <w:pPr>
        <w:pStyle w:val="Ttulo2"/>
        <w:spacing w:before="12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2865776" w:id="6"/>
      <w:r w:rsidRPr="004F0AC2">
        <w:rPr>
          <w:rFonts w:ascii="Times New Roman" w:hAnsi="Times New Roman" w:cs="Times New Roman"/>
          <w:b/>
          <w:color w:val="auto"/>
          <w:sz w:val="24"/>
          <w:szCs w:val="24"/>
        </w:rPr>
        <w:t xml:space="preserve">Outras informações que apresentam ou fazem referência às demonstrações </w:t>
      </w:r>
      <w:bookmarkEnd w:id="6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contábeis </w:t>
      </w:r>
    </w:p>
    <w:p w:rsidR="0036047B" w:rsidP="0036047B" w:rsidRDefault="0036047B" w14:paraId="36081F26" w14:textId="16A63D1D">
      <w:pPr>
        <w:autoSpaceDE w:val="0"/>
        <w:autoSpaceDN w:val="0"/>
        <w:adjustRightInd w:val="0"/>
        <w:spacing w:before="120" w:after="0" w:line="240" w:lineRule="auto"/>
        <w:jc w:val="both"/>
      </w:pPr>
      <w:r w:rsidR="0036047B">
        <w:rPr/>
        <w:t xml:space="preserve">A </w:t>
      </w:r>
      <w:r w:rsidR="4C1EA61E">
        <w:rPr/>
        <w:t>A</w:t>
      </w:r>
      <w:r w:rsidR="0036047B">
        <w:rPr/>
        <w:t xml:space="preserve">dministração </w:t>
      </w:r>
      <w:r w:rsidR="0036047B">
        <w:rPr/>
        <w:t xml:space="preserve">do </w:t>
      </w:r>
      <w:r w:rsidR="1F6087F4">
        <w:rPr/>
        <w:t>Senado Federal</w:t>
      </w:r>
      <w:r w:rsidR="0036047B">
        <w:rPr/>
        <w:t xml:space="preserve"> é responsável por essas outras informações que compreendem o Relatório</w:t>
      </w:r>
      <w:r w:rsidR="0036047B">
        <w:rPr/>
        <w:t xml:space="preserve"> de Gestão</w:t>
      </w:r>
      <w:r w:rsidR="0036047B">
        <w:rPr/>
        <w:t>.</w:t>
      </w:r>
    </w:p>
    <w:p w:rsidR="0036047B" w:rsidP="0036047B" w:rsidRDefault="0036047B" w14:paraId="709FD828" w14:textId="0D9A2BEE">
      <w:pPr>
        <w:autoSpaceDE w:val="0"/>
        <w:autoSpaceDN w:val="0"/>
        <w:adjustRightInd w:val="0"/>
        <w:spacing w:before="120" w:after="0" w:line="240" w:lineRule="auto"/>
        <w:jc w:val="both"/>
      </w:pPr>
      <w:r w:rsidRPr="005D1404">
        <w:lastRenderedPageBreak/>
        <w:t xml:space="preserve">Nossa opinião sobre as demonstrações </w:t>
      </w:r>
      <w:r>
        <w:t>contábeis</w:t>
      </w:r>
      <w:r w:rsidRPr="005D1404">
        <w:t xml:space="preserve"> </w:t>
      </w:r>
      <w:r>
        <w:t xml:space="preserve">e a conformidade das transações subjacentes </w:t>
      </w:r>
      <w:r w:rsidRPr="005D1404">
        <w:t xml:space="preserve">não abrange o Relatório </w:t>
      </w:r>
      <w:r>
        <w:t>de Gestão</w:t>
      </w:r>
      <w:r w:rsidRPr="005D1404">
        <w:t xml:space="preserve"> e não expressamos qualquer forma de co</w:t>
      </w:r>
      <w:r>
        <w:t xml:space="preserve">nclusão de auditoria sobre esse </w:t>
      </w:r>
      <w:r w:rsidRPr="005D1404">
        <w:t>relatório.</w:t>
      </w:r>
    </w:p>
    <w:p w:rsidRPr="004F0AC2" w:rsidR="0036047B" w:rsidP="0036047B" w:rsidRDefault="0036047B" w14:paraId="3F347130" w14:textId="4AE28418">
      <w:pPr>
        <w:autoSpaceDE w:val="0"/>
        <w:autoSpaceDN w:val="0"/>
        <w:adjustRightInd w:val="0"/>
        <w:spacing w:before="120" w:after="0" w:line="240" w:lineRule="auto"/>
        <w:jc w:val="both"/>
      </w:pPr>
      <w:r w:rsidR="0036047B">
        <w:rPr/>
        <w:t xml:space="preserve">Em conexão com a auditoria das demonstrações </w:t>
      </w:r>
      <w:r w:rsidR="0036047B">
        <w:rPr/>
        <w:t>contábeis</w:t>
      </w:r>
      <w:r w:rsidR="0036047B">
        <w:rPr/>
        <w:t xml:space="preserve"> individuais, nossa</w:t>
      </w:r>
      <w:r w:rsidR="0036047B">
        <w:rPr/>
        <w:t xml:space="preserve"> </w:t>
      </w:r>
      <w:r w:rsidR="0036047B">
        <w:rPr/>
        <w:t xml:space="preserve">responsabilidade é a de ler o Relatório </w:t>
      </w:r>
      <w:r w:rsidR="0036047B">
        <w:rPr/>
        <w:t xml:space="preserve">de Gestão </w:t>
      </w:r>
      <w:r w:rsidR="0036047B">
        <w:rPr/>
        <w:t>e, ao fazê-lo, considerar se esse relatório está, de</w:t>
      </w:r>
      <w:r w:rsidR="0036047B">
        <w:rPr/>
        <w:t xml:space="preserve"> </w:t>
      </w:r>
      <w:r w:rsidR="0036047B">
        <w:rPr/>
        <w:t xml:space="preserve">forma relevante, inconsistente com as demonstrações </w:t>
      </w:r>
      <w:r w:rsidR="0036047B">
        <w:rPr/>
        <w:t>contábeis</w:t>
      </w:r>
      <w:r w:rsidR="0036047B">
        <w:rPr/>
        <w:t xml:space="preserve"> ou com nosso conhecimento obtido na</w:t>
      </w:r>
      <w:r w:rsidR="0036047B">
        <w:rPr/>
        <w:t xml:space="preserve"> </w:t>
      </w:r>
      <w:r w:rsidR="0036047B">
        <w:rPr/>
        <w:t>auditoria ou, de outra forma, aparenta estar distorcido de forma relevante. Se, com base no trabalho</w:t>
      </w:r>
      <w:r w:rsidR="0036047B">
        <w:rPr/>
        <w:t xml:space="preserve"> </w:t>
      </w:r>
      <w:r w:rsidR="0036047B">
        <w:rPr/>
        <w:t xml:space="preserve">realizado, </w:t>
      </w:r>
      <w:r w:rsidR="0036047B">
        <w:rPr/>
        <w:t>concluirmos que há distorção relevante no Relatório de Gestão da entidade, somos requeridos a comunicar esse fato.</w:t>
      </w:r>
    </w:p>
    <w:p w:rsidR="0036047B" w:rsidP="5B606F5D" w:rsidRDefault="0036047B" w14:paraId="443CF114" w14:textId="2CCFE875">
      <w:pPr>
        <w:spacing w:before="120" w:after="0" w:line="240" w:lineRule="auto"/>
        <w:jc w:val="both"/>
        <w:outlineLvl w:val="1"/>
        <w:rPr>
          <w:b w:val="1"/>
          <w:bCs w:val="1"/>
        </w:rPr>
      </w:pPr>
      <w:bookmarkStart w:name="_Toc42865777" w:id="7"/>
      <w:r w:rsidRPr="5B606F5D" w:rsidR="0036047B">
        <w:rPr>
          <w:b w:val="1"/>
          <w:bCs w:val="1"/>
        </w:rPr>
        <w:t>Principais assuntos de auditoria</w:t>
      </w:r>
      <w:bookmarkEnd w:id="7"/>
    </w:p>
    <w:p w:rsidR="5B606F5D" w:rsidP="5B606F5D" w:rsidRDefault="5B606F5D" w14:paraId="37F02A4C" w14:textId="016DA778">
      <w:pPr>
        <w:pStyle w:val="Normal"/>
        <w:spacing w:before="120" w:after="0" w:line="240" w:lineRule="auto"/>
        <w:jc w:val="both"/>
        <w:outlineLvl w:val="1"/>
        <w:rPr>
          <w:rFonts w:ascii="Times New Roman" w:hAnsi="Times New Roman" w:eastAsia="Calibri" w:cs="Times New Roman"/>
          <w:b w:val="1"/>
          <w:bCs w:val="1"/>
          <w:sz w:val="24"/>
          <w:szCs w:val="24"/>
        </w:rPr>
      </w:pPr>
    </w:p>
    <w:p w:rsidRPr="00AA233C" w:rsidR="0036047B" w:rsidP="5B606F5D" w:rsidRDefault="0036047B" w14:paraId="3DA815F6" w14:textId="647B37BE">
      <w:pPr>
        <w:keepNext/>
        <w:keepLines/>
        <w:spacing w:before="120" w:after="0" w:line="240" w:lineRule="auto"/>
        <w:jc w:val="both"/>
        <w:rPr>
          <w:b w:val="1"/>
          <w:bCs w:val="1"/>
        </w:rPr>
      </w:pPr>
      <w:r w:rsidRPr="5B606F5D" w:rsidR="3CA1740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Principais Assuntos de Auditoria (PAA) são aqueles que, em nosso julgamento profissional, foram os mais significativos </w:t>
      </w:r>
      <w:r w:rsidRPr="5B606F5D" w:rsidR="133FFC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na</w:t>
      </w:r>
      <w:r w:rsidRPr="5B606F5D" w:rsidR="3CA1740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auditoria do exercício corrente. Esses assuntos foram tratados no contexto d</w:t>
      </w:r>
      <w:r w:rsidRPr="5B606F5D" w:rsidR="17310A7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 </w:t>
      </w:r>
      <w:r w:rsidRPr="5B606F5D" w:rsidR="3CA1740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auditoria das demonstrações contábeis e na formação de nossa opinião sobre essas demonstrações e, portanto, não expressamos uma opinião separada sobre esses assuntos.</w:t>
      </w:r>
      <w:r w:rsidRPr="5B606F5D" w:rsidR="434F12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5B606F5D" w:rsidR="6D7B0B2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Frente ao exposto, não existem outros principais assuntos de auditoria a serem comunicados em nosso certificado.</w:t>
      </w:r>
    </w:p>
    <w:p w:rsidRPr="00AA233C" w:rsidR="0036047B" w:rsidP="5B606F5D" w:rsidRDefault="0036047B" w14:paraId="70F97157" w14:textId="5CB87CEF">
      <w:pPr>
        <w:keepNext/>
        <w:keepLines/>
        <w:spacing w:before="120" w:after="0" w:line="240" w:lineRule="auto"/>
        <w:jc w:val="both"/>
        <w:rPr>
          <w:b w:val="1"/>
          <w:bCs w:val="1"/>
        </w:rPr>
      </w:pPr>
      <w:bookmarkStart w:name="_Toc42865778" w:id="8"/>
      <w:r w:rsidRPr="5B606F5D" w:rsidR="0036047B">
        <w:rPr>
          <w:b w:val="1"/>
          <w:bCs w:val="1"/>
        </w:rPr>
        <w:t xml:space="preserve">Responsabilidades da </w:t>
      </w:r>
      <w:r w:rsidRPr="5B606F5D" w:rsidR="73FCE22A">
        <w:rPr>
          <w:b w:val="1"/>
          <w:bCs w:val="1"/>
        </w:rPr>
        <w:t>a</w:t>
      </w:r>
      <w:r w:rsidRPr="5B606F5D" w:rsidR="0036047B">
        <w:rPr>
          <w:b w:val="1"/>
          <w:bCs w:val="1"/>
        </w:rPr>
        <w:t>dministração pelas demonstrações contábeis</w:t>
      </w:r>
      <w:bookmarkEnd w:id="8"/>
    </w:p>
    <w:p w:rsidRPr="007051BD" w:rsidR="0036047B" w:rsidP="0036047B" w:rsidRDefault="0036047B" w14:paraId="2C7E1815" w14:textId="6E54110D">
      <w:pPr>
        <w:spacing w:before="120" w:after="0" w:line="240" w:lineRule="auto"/>
        <w:jc w:val="both"/>
      </w:pPr>
      <w:r w:rsidR="0036047B">
        <w:rPr/>
        <w:t xml:space="preserve">A </w:t>
      </w:r>
      <w:r w:rsidR="2C7E3ADD">
        <w:rPr/>
        <w:t>a</w:t>
      </w:r>
      <w:r w:rsidR="0036047B">
        <w:rPr/>
        <w:t>dministração é responsável pela elaboração e adequada apresentação das demonstrações contábeis de acordo com as práticas contábeis adotadas no Brasil</w:t>
      </w:r>
      <w:r w:rsidR="0036047B">
        <w:rPr/>
        <w:t xml:space="preserve"> pelo setor público</w:t>
      </w:r>
      <w:r w:rsidR="0036047B">
        <w:rPr/>
        <w:t xml:space="preserve"> e pelos controles internos que ela determinou como necessários para permitir a elaboração de demonstrações contábeis livres de distorção relevante, independentemente se causada por fraude ou erro.</w:t>
      </w:r>
    </w:p>
    <w:p w:rsidRPr="00AA233C" w:rsidR="0036047B" w:rsidP="0036047B" w:rsidRDefault="0036047B" w14:paraId="7C6EB2AB" w14:textId="77777777">
      <w:pPr>
        <w:keepNext/>
        <w:keepLines/>
        <w:spacing w:before="120" w:after="0" w:line="240" w:lineRule="auto"/>
        <w:jc w:val="both"/>
        <w:outlineLvl w:val="1"/>
        <w:rPr>
          <w:b/>
        </w:rPr>
      </w:pPr>
      <w:bookmarkStart w:name="_Toc42865779" w:id="9"/>
      <w:r w:rsidRPr="00AA233C">
        <w:rPr>
          <w:b/>
        </w:rPr>
        <w:t>Responsabilidades do auditor pela auditoria das demonstrações contábeis</w:t>
      </w:r>
      <w:bookmarkEnd w:id="9"/>
    </w:p>
    <w:p w:rsidRPr="00725077" w:rsidR="0036047B" w:rsidP="0036047B" w:rsidRDefault="0036047B" w14:paraId="3DC9508B" w14:textId="26BFCDFD">
      <w:pPr>
        <w:spacing w:before="120" w:after="0" w:line="240" w:lineRule="auto"/>
        <w:jc w:val="both"/>
      </w:pPr>
      <w:r w:rsidRPr="00725077">
        <w:t xml:space="preserve">Nossos objetivos são obter segurança razoável de que as demonstrações contábeis, tomadas em conjunto, estão livres de distorção relevante, independentemente se causada por fraude ou erro, e emitir </w:t>
      </w:r>
      <w:r w:rsidR="003A504D">
        <w:t>certificado</w:t>
      </w:r>
      <w:r w:rsidRPr="00725077">
        <w:t xml:space="preserve"> de auditoria contendo nossa opinião. Segurança razoável é um alto nível de segurança, mas não uma garantia de que a auditoria realizada de acordo com as normas brasileiras e internacionais de auditoria</w:t>
      </w:r>
      <w:r>
        <w:t xml:space="preserve"> no setor público</w:t>
      </w:r>
      <w:r w:rsidRPr="00725077">
        <w:t xml:space="preserve"> sempre detectam as eventuais distorções relevantes existentes. As distorções podem ser decorrentes de fraude ou erro e são consideradas relevantes quando, individualmente ou em conjunto, possam influenciar, dentro de uma perspectiva razoável, as decisões econômicas dos usuários tomadas com base nas referidas demonstrações contábeis.</w:t>
      </w:r>
    </w:p>
    <w:p w:rsidRPr="00725077" w:rsidR="0036047B" w:rsidP="0036047B" w:rsidRDefault="0036047B" w14:paraId="6F23B93D" w14:textId="77777777">
      <w:pPr>
        <w:spacing w:before="120" w:after="0" w:line="240" w:lineRule="auto"/>
        <w:jc w:val="both"/>
      </w:pPr>
      <w:r w:rsidRPr="00725077">
        <w:t>Como parte da auditoria realizada de acordo com as normas brasileiras e internacionais de auditoria</w:t>
      </w:r>
      <w:r>
        <w:t xml:space="preserve"> aplicáveis ao setor público</w:t>
      </w:r>
      <w:r w:rsidRPr="00725077">
        <w:t>, exercemos julgamento profissional e mantemos ceticismo profissional ao</w:t>
      </w:r>
      <w:r>
        <w:t xml:space="preserve"> longo da auditoria. Além disso</w:t>
      </w:r>
      <w:r w:rsidRPr="00725077">
        <w:t>:</w:t>
      </w:r>
    </w:p>
    <w:p w:rsidR="0036047B" w:rsidP="0036047B" w:rsidRDefault="0036047B" w14:paraId="488643B5" w14:textId="75FA5958">
      <w:pPr>
        <w:pStyle w:val="PargrafodaLista"/>
        <w:numPr>
          <w:ilvl w:val="0"/>
          <w:numId w:val="5"/>
        </w:numPr>
        <w:spacing w:before="120" w:after="0" w:line="240" w:lineRule="auto"/>
        <w:ind w:left="0" w:firstLine="0"/>
        <w:contextualSpacing w:val="0"/>
        <w:jc w:val="both"/>
        <w:rPr/>
      </w:pPr>
      <w:r w:rsidR="0036047B">
        <w:rPr/>
        <w:t>Identificamos e avaliamos os riscos de distorção relevante nas demonstrações contábeis, independentemente se causada por fraude ou erro, planejamos e executamos procedimentos de auditoria em resposta a tais riscos, bem como obt</w:t>
      </w:r>
      <w:r w:rsidR="2DD50B85">
        <w:rPr/>
        <w:t>ive</w:t>
      </w:r>
      <w:r w:rsidR="0036047B">
        <w:rPr/>
        <w:t xml:space="preserve">mos evidência de auditoria apropriada e suficiente para fundamentar nossa opinião. O risco de não detecção de distorção relevante resultante de fraude é maior do que o proveniente de erro, já que a fraude pode envolver o ato </w:t>
      </w:r>
      <w:r w:rsidR="0036047B">
        <w:rPr/>
        <w:t>de burlar os controles internos, conluio, falsificação, omissão ou representações falsas intencionais.</w:t>
      </w:r>
    </w:p>
    <w:p w:rsidR="0036047B" w:rsidP="0036047B" w:rsidRDefault="0036047B" w14:paraId="61E05BFB" w14:textId="4462263E">
      <w:pPr>
        <w:pStyle w:val="PargrafodaLista"/>
        <w:numPr>
          <w:ilvl w:val="0"/>
          <w:numId w:val="5"/>
        </w:numPr>
        <w:spacing w:before="120" w:after="0" w:line="240" w:lineRule="auto"/>
        <w:ind w:left="0" w:firstLine="0"/>
        <w:contextualSpacing w:val="0"/>
        <w:jc w:val="both"/>
        <w:rPr/>
      </w:pPr>
      <w:r w:rsidR="0036047B">
        <w:rPr/>
        <w:t>Obt</w:t>
      </w:r>
      <w:r w:rsidR="00985E86">
        <w:rPr/>
        <w:t>iv</w:t>
      </w:r>
      <w:r w:rsidR="0036047B">
        <w:rPr/>
        <w:t>emos entendimento dos controles internos relevantes para a auditoria para planejar</w:t>
      </w:r>
      <w:r w:rsidR="00985E86">
        <w:rPr/>
        <w:t xml:space="preserve"> os</w:t>
      </w:r>
      <w:r w:rsidR="0036047B">
        <w:rPr/>
        <w:t xml:space="preserve"> procedimentos de auditoria apropriados nas circunstâncias, mas, não, com o objetivo de expressarmos opinião sobre a eficácia dos controles internos </w:t>
      </w:r>
      <w:r w:rsidR="0036047B">
        <w:rPr/>
        <w:t xml:space="preserve">do </w:t>
      </w:r>
      <w:r w:rsidR="32D8161B">
        <w:rPr/>
        <w:t>Senado Federal</w:t>
      </w:r>
      <w:bookmarkStart w:name="_GoBack" w:id="10"/>
      <w:bookmarkEnd w:id="10"/>
      <w:r w:rsidR="0036047B">
        <w:rPr/>
        <w:t>.</w:t>
      </w:r>
    </w:p>
    <w:p w:rsidR="0036047B" w:rsidP="0036047B" w:rsidRDefault="0036047B" w14:paraId="7735953B" w14:textId="77777777">
      <w:pPr>
        <w:pStyle w:val="PargrafodaLista"/>
        <w:numPr>
          <w:ilvl w:val="0"/>
          <w:numId w:val="5"/>
        </w:numPr>
        <w:spacing w:before="120" w:after="0" w:line="240" w:lineRule="auto"/>
        <w:ind w:left="0" w:firstLine="0"/>
        <w:contextualSpacing w:val="0"/>
        <w:jc w:val="both"/>
      </w:pPr>
      <w:r w:rsidRPr="00725077">
        <w:t>Avaliamos a adequação das políticas contábeis utilizadas e a razoabilidade das estimativas contábeis e respectivas divulgações feitas pela administração.</w:t>
      </w:r>
    </w:p>
    <w:p w:rsidR="0036047B" w:rsidP="0036047B" w:rsidRDefault="0036047B" w14:paraId="5DAAEB99" w14:textId="77777777">
      <w:pPr>
        <w:pStyle w:val="PargrafodaLista"/>
        <w:numPr>
          <w:ilvl w:val="0"/>
          <w:numId w:val="5"/>
        </w:numPr>
        <w:spacing w:before="120" w:after="0" w:line="240" w:lineRule="auto"/>
        <w:ind w:left="0" w:firstLine="0"/>
        <w:contextualSpacing w:val="0"/>
        <w:jc w:val="both"/>
      </w:pPr>
      <w:r w:rsidRPr="00725077">
        <w:t>Avaliamos a apresentação geral, a estrutura e o conteúdo das demonstrações contábeis, inclusive as divulgações, e se as demonstrações contábeis representam as correspondentes transações e os eventos de maneira compatível</w:t>
      </w:r>
      <w:r>
        <w:t xml:space="preserve"> com o objetivo de apresentação </w:t>
      </w:r>
      <w:r w:rsidRPr="00725077">
        <w:t>adequada.</w:t>
      </w:r>
    </w:p>
    <w:p w:rsidRPr="00725077" w:rsidR="0036047B" w:rsidP="0036047B" w:rsidRDefault="0036047B" w14:paraId="011D2D78" w14:textId="77777777">
      <w:pPr>
        <w:spacing w:before="120" w:after="0" w:line="240" w:lineRule="auto"/>
        <w:jc w:val="both"/>
      </w:pPr>
      <w:r w:rsidRPr="00725077">
        <w:t xml:space="preserve">Comunicamo-nos com os </w:t>
      </w:r>
      <w:r w:rsidRPr="00854DFF">
        <w:t>responsáveis pela administração a respeito</w:t>
      </w:r>
      <w:r w:rsidRPr="00725077">
        <w:t>, entre outros aspectos, do alcance planejado, da época da auditoria e das constatações significativas de auditoria, inclusive as eventuais deficiências significativas nos controles internos q</w:t>
      </w:r>
      <w:r>
        <w:t>ue identificamos durante nossos </w:t>
      </w:r>
      <w:r w:rsidRPr="00725077">
        <w:t>trabalhos.</w:t>
      </w:r>
    </w:p>
    <w:p w:rsidRPr="00725077" w:rsidR="0036047B" w:rsidP="0036047B" w:rsidRDefault="0036047B" w14:paraId="576602C0" w14:textId="77777777">
      <w:pPr>
        <w:spacing w:before="120" w:after="0" w:line="240" w:lineRule="auto"/>
        <w:jc w:val="both"/>
      </w:pPr>
      <w:r w:rsidRPr="00725077">
        <w:t xml:space="preserve">Fornecemos também aos </w:t>
      </w:r>
      <w:r w:rsidRPr="00854DFF">
        <w:t>responsáveis pela administração declaração</w:t>
      </w:r>
      <w:r w:rsidRPr="00725077">
        <w:t xml:space="preserve"> de que cumprimos com as exigências éticas relevantes, incluindo os requisitos aplicáveis de independência, e comunicamos todos os eventuais relacionamentos ou assuntos que poderiam afetar, consideravelmente, nossa independência, incluindo, quando aplicáve</w:t>
      </w:r>
      <w:r>
        <w:t>l, as respectivas salvaguardas.</w:t>
      </w:r>
    </w:p>
    <w:p w:rsidR="0036047B" w:rsidP="0036047B" w:rsidRDefault="0036047B" w14:paraId="7F845564" w14:textId="533F5A0E">
      <w:pPr>
        <w:spacing w:before="120" w:after="0" w:line="240" w:lineRule="auto"/>
        <w:jc w:val="both"/>
      </w:pPr>
      <w:r w:rsidRPr="00725077">
        <w:t xml:space="preserve">Dos assuntos que foram objeto de comunicação com os </w:t>
      </w:r>
      <w:r w:rsidRPr="00854DFF">
        <w:t>responsáveis pela administração,</w:t>
      </w:r>
      <w:r w:rsidRPr="00725077">
        <w:t xml:space="preserve"> determinamos aqueles que foram considerados como mais significativos na auditoria das demonstrações contábeis do exercício corrente e que, dessa maneira, constituem os principais assuntos de auditoria. Descrevemos esses assuntos em nosso </w:t>
      </w:r>
      <w:r w:rsidR="003A504D">
        <w:t>certificado</w:t>
      </w:r>
      <w:r w:rsidRPr="00725077">
        <w:t xml:space="preserve"> de auditoria, a menos que lei ou regulamento tenha proibido divulgação pública do assunto, ou quando, em circunstâncias extremamente raras, determinarmos que o assunto não deve ser comunicado em nosso </w:t>
      </w:r>
      <w:r w:rsidR="003A504D">
        <w:t>certificado</w:t>
      </w:r>
      <w:r w:rsidRPr="00725077">
        <w:t xml:space="preserve"> porque as consequências adversas de tal comunicação podem, dentro de uma perspectiva razoável, superar os benefícios da comunicação para o interesse público.</w:t>
      </w:r>
    </w:p>
    <w:p w:rsidR="0036047B" w:rsidP="0036047B" w:rsidRDefault="0036047B" w14:paraId="12CCDA3D" w14:textId="77777777">
      <w:pPr>
        <w:spacing w:before="120" w:after="0" w:line="240" w:lineRule="auto"/>
        <w:jc w:val="both"/>
      </w:pPr>
    </w:p>
    <w:p w:rsidRPr="00D34FF8" w:rsidR="00D34FF8" w:rsidP="24598D41" w:rsidRDefault="00D34FF8" w14:paraId="5B650976" w14:textId="1AD0D8C8">
      <w:pPr>
        <w:spacing w:before="100" w:beforeAutospacing="on" w:after="0" w:line="360" w:lineRule="auto"/>
        <w:ind w:right="26"/>
        <w:jc w:val="center"/>
        <w:rPr>
          <w:rFonts w:eastAsia="Times New Roman"/>
          <w:lang w:eastAsia="pt-BR"/>
        </w:rPr>
      </w:pPr>
      <w:r w:rsidRPr="5B606F5D" w:rsidR="00D34FF8">
        <w:rPr>
          <w:rFonts w:eastAsia="Times New Roman"/>
          <w:lang w:eastAsia="pt-BR"/>
        </w:rPr>
        <w:t>Brasília/</w:t>
      </w:r>
      <w:r w:rsidRPr="5B606F5D" w:rsidR="00D34FF8">
        <w:rPr>
          <w:rFonts w:eastAsia="Times New Roman"/>
          <w:lang w:eastAsia="pt-BR"/>
        </w:rPr>
        <w:t>D</w:t>
      </w:r>
      <w:r w:rsidRPr="5B606F5D" w:rsidR="00D34FF8">
        <w:rPr>
          <w:rFonts w:eastAsia="Times New Roman"/>
          <w:lang w:eastAsia="pt-BR"/>
        </w:rPr>
        <w:t>F</w:t>
      </w:r>
      <w:r w:rsidRPr="5B606F5D" w:rsidR="00D34FF8">
        <w:rPr>
          <w:rFonts w:eastAsia="Times New Roman"/>
          <w:color w:val="FFFFFF" w:themeColor="background1" w:themeTint="FF" w:themeShade="FF"/>
          <w:lang w:eastAsia="pt-BR"/>
        </w:rPr>
        <w:t>,</w:t>
      </w:r>
      <w:r w:rsidRPr="5B606F5D" w:rsidR="6223FBE1">
        <w:rPr>
          <w:rFonts w:eastAsia="Times New Roman"/>
          <w:color w:val="FFFFFF" w:themeColor="background1" w:themeTint="FF" w:themeShade="FF"/>
          <w:lang w:eastAsia="pt-BR"/>
        </w:rPr>
        <w:t xml:space="preserve"> </w:t>
      </w:r>
      <w:r w:rsidRPr="5B606F5D" w:rsidR="6223FBE1">
        <w:rPr>
          <w:rFonts w:eastAsia="Times New Roman"/>
          <w:color w:val="auto"/>
          <w:lang w:eastAsia="pt-BR"/>
        </w:rPr>
        <w:t>31</w:t>
      </w:r>
      <w:r w:rsidRPr="5B606F5D" w:rsidR="00D34FF8">
        <w:rPr>
          <w:rFonts w:eastAsia="Times New Roman"/>
          <w:lang w:eastAsia="pt-BR"/>
        </w:rPr>
        <w:t xml:space="preserve"> </w:t>
      </w:r>
      <w:r w:rsidRPr="5B606F5D" w:rsidR="009347D0">
        <w:rPr>
          <w:rFonts w:eastAsia="Times New Roman"/>
          <w:lang w:eastAsia="pt-BR"/>
        </w:rPr>
        <w:t xml:space="preserve">de </w:t>
      </w:r>
      <w:r w:rsidRPr="5B606F5D" w:rsidR="096D92B0">
        <w:rPr>
          <w:rFonts w:eastAsia="Times New Roman"/>
          <w:lang w:eastAsia="pt-BR"/>
        </w:rPr>
        <w:t>março</w:t>
      </w:r>
      <w:r w:rsidRPr="5B606F5D" w:rsidR="009347D0">
        <w:rPr>
          <w:rFonts w:eastAsia="Times New Roman"/>
          <w:lang w:eastAsia="pt-BR"/>
        </w:rPr>
        <w:t xml:space="preserve"> de 20</w:t>
      </w:r>
      <w:r w:rsidRPr="5B606F5D" w:rsidR="00985E86">
        <w:rPr>
          <w:rFonts w:eastAsia="Times New Roman"/>
          <w:lang w:eastAsia="pt-BR"/>
        </w:rPr>
        <w:t>2</w:t>
      </w:r>
      <w:r w:rsidRPr="5B606F5D" w:rsidR="29DC2AD9">
        <w:rPr>
          <w:rFonts w:eastAsia="Times New Roman"/>
          <w:lang w:eastAsia="pt-BR"/>
        </w:rPr>
        <w:t>1</w:t>
      </w:r>
      <w:r w:rsidRPr="5B606F5D" w:rsidR="00D34FF8">
        <w:rPr>
          <w:rFonts w:eastAsia="Times New Roman"/>
          <w:lang w:eastAsia="pt-BR"/>
        </w:rPr>
        <w:t>.</w:t>
      </w:r>
    </w:p>
    <w:p w:rsidRPr="00D34FF8" w:rsidR="00D34FF8" w:rsidP="00D34FF8" w:rsidRDefault="00D34FF8" w14:paraId="4E28DCBB" w14:textId="77777777">
      <w:pPr>
        <w:spacing w:after="0" w:line="240" w:lineRule="auto"/>
        <w:rPr>
          <w:rFonts w:eastAsia="Times New Roman" w:asciiTheme="minorHAnsi" w:hAnsiTheme="minorHAnsi" w:cstheme="minorBidi"/>
          <w:b/>
          <w:bCs/>
          <w:sz w:val="22"/>
          <w:szCs w:val="22"/>
          <w:lang w:eastAsia="pt-BR"/>
        </w:rPr>
      </w:pPr>
    </w:p>
    <w:p w:rsidRPr="008F02C6" w:rsidR="00D34FF8" w:rsidP="24598D41" w:rsidRDefault="00D34FF8" w14:paraId="1B0B1972" w14:textId="1D8B55C6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</w:pPr>
      <w:r>
        <w:br/>
      </w:r>
      <w:r w:rsidRPr="37F81C23" w:rsidR="6D23A8A7">
        <w:rPr>
          <w:b w:val="1"/>
          <w:bCs w:val="1"/>
          <w:color w:val="000000" w:themeColor="text1" w:themeTint="FF" w:themeShade="FF"/>
        </w:rPr>
        <w:t>ANDRÉ LUIS SOARES DA PAIXÃO</w:t>
      </w:r>
    </w:p>
    <w:p w:rsidR="200BDFB5" w:rsidP="37F81C23" w:rsidRDefault="200BDFB5" w14:paraId="243D7CDC" w14:textId="2C680499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color w:val="000000" w:themeColor="text1" w:themeTint="FF" w:themeShade="FF"/>
          <w:sz w:val="22"/>
          <w:szCs w:val="22"/>
        </w:rPr>
      </w:pPr>
      <w:r w:rsidRPr="5B606F5D" w:rsidR="200BDFB5">
        <w:rPr>
          <w:color w:val="000000" w:themeColor="text1" w:themeTint="FF" w:themeShade="FF"/>
          <w:sz w:val="22"/>
          <w:szCs w:val="22"/>
        </w:rPr>
        <w:t>Auditor-Geral do Senado Federal</w:t>
      </w:r>
    </w:p>
    <w:p w:rsidRPr="008F02C6" w:rsidR="00D34FF8" w:rsidP="5B606F5D" w:rsidRDefault="00D34FF8" w14:paraId="34EC3021" w14:textId="1D85534B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color w:val="000000" w:themeColor="text1" w:themeTint="FF" w:themeShade="FF"/>
          <w:sz w:val="22"/>
          <w:szCs w:val="22"/>
        </w:rPr>
      </w:pPr>
    </w:p>
    <w:sectPr w:rsidRPr="008F02C6" w:rsidR="00D34FF8" w:rsidSect="00354B2A">
      <w:pgSz w:w="11906" w:h="16838" w:orient="portrait"/>
      <w:pgMar w:top="425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228"/>
    <w:multiLevelType w:val="hybridMultilevel"/>
    <w:tmpl w:val="76D2D924"/>
    <w:lvl w:ilvl="0" w:tplc="CBC0248C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E"/>
    <w:multiLevelType w:val="multilevel"/>
    <w:tmpl w:val="AB60170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2" w15:restartNumberingAfterBreak="0">
    <w:nsid w:val="12ED3039"/>
    <w:multiLevelType w:val="hybridMultilevel"/>
    <w:tmpl w:val="517ED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20D0"/>
    <w:multiLevelType w:val="hybridMultilevel"/>
    <w:tmpl w:val="CC6E313E"/>
    <w:lvl w:ilvl="0" w:tplc="C9BA96A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7C577F"/>
    <w:multiLevelType w:val="multilevel"/>
    <w:tmpl w:val="CC3A66F8"/>
    <w:lvl w:ilvl="0">
      <w:start w:val="1"/>
      <w:numFmt w:val="decimal"/>
      <w:lvlText w:val="%1."/>
      <w:lvlJc w:val="left"/>
      <w:pPr>
        <w:ind w:left="3410" w:hanging="1425"/>
      </w:pPr>
      <w:rPr>
        <w:rFonts w:ascii="Times New Roman" w:hAnsi="Times New Roman" w:cs="Times New Roman" w:eastAsiaTheme="minorHAnsi"/>
      </w:rPr>
    </w:lvl>
    <w:lvl w:ilvl="1">
      <w:start w:val="1"/>
      <w:numFmt w:val="decimal"/>
      <w:lvlText w:val="%1.%2"/>
      <w:lvlJc w:val="left"/>
      <w:pPr>
        <w:ind w:left="2345" w:hanging="360"/>
      </w:pPr>
    </w:lvl>
    <w:lvl w:ilvl="2">
      <w:start w:val="1"/>
      <w:numFmt w:val="decimal"/>
      <w:lvlText w:val="%1.%2.%3"/>
      <w:lvlJc w:val="left"/>
      <w:pPr>
        <w:ind w:left="2705" w:hanging="720"/>
      </w:pPr>
    </w:lvl>
    <w:lvl w:ilvl="3">
      <w:start w:val="1"/>
      <w:numFmt w:val="decimal"/>
      <w:lvlText w:val="%1.%2.%3.%4"/>
      <w:lvlJc w:val="left"/>
      <w:pPr>
        <w:ind w:left="2705" w:hanging="720"/>
      </w:pPr>
    </w:lvl>
    <w:lvl w:ilvl="4">
      <w:start w:val="1"/>
      <w:numFmt w:val="decimal"/>
      <w:lvlText w:val="%1.%2.%3.%4.%5"/>
      <w:lvlJc w:val="left"/>
      <w:pPr>
        <w:ind w:left="3065" w:hanging="1080"/>
      </w:pPr>
    </w:lvl>
    <w:lvl w:ilvl="5">
      <w:start w:val="1"/>
      <w:numFmt w:val="decimal"/>
      <w:lvlText w:val="%1.%2.%3.%4.%5.%6"/>
      <w:lvlJc w:val="left"/>
      <w:pPr>
        <w:ind w:left="3065" w:hanging="1080"/>
      </w:pPr>
    </w:lvl>
    <w:lvl w:ilvl="6">
      <w:start w:val="1"/>
      <w:numFmt w:val="decimal"/>
      <w:lvlText w:val="%1.%2.%3.%4.%5.%6.%7"/>
      <w:lvlJc w:val="left"/>
      <w:pPr>
        <w:ind w:left="3425" w:hanging="1440"/>
      </w:pPr>
    </w:lvl>
    <w:lvl w:ilvl="7">
      <w:start w:val="1"/>
      <w:numFmt w:val="decimal"/>
      <w:lvlText w:val="%1.%2.%3.%4.%5.%6.%7.%8"/>
      <w:lvlJc w:val="left"/>
      <w:pPr>
        <w:ind w:left="3425" w:hanging="1440"/>
      </w:pPr>
    </w:lvl>
    <w:lvl w:ilvl="8">
      <w:start w:val="1"/>
      <w:numFmt w:val="decimal"/>
      <w:lvlText w:val="%1.%2.%3.%4.%5.%6.%7.%8.%9"/>
      <w:lvlJc w:val="left"/>
      <w:pPr>
        <w:ind w:left="3785" w:hanging="180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D9"/>
    <w:rsid w:val="000155AD"/>
    <w:rsid w:val="00022E7E"/>
    <w:rsid w:val="000319FA"/>
    <w:rsid w:val="00033F34"/>
    <w:rsid w:val="00035AE4"/>
    <w:rsid w:val="00045BCF"/>
    <w:rsid w:val="00045C52"/>
    <w:rsid w:val="00053986"/>
    <w:rsid w:val="00062136"/>
    <w:rsid w:val="000903E1"/>
    <w:rsid w:val="00096CB6"/>
    <w:rsid w:val="000A7F0D"/>
    <w:rsid w:val="000C08C2"/>
    <w:rsid w:val="000F5BA1"/>
    <w:rsid w:val="00101ED6"/>
    <w:rsid w:val="0010281C"/>
    <w:rsid w:val="00106935"/>
    <w:rsid w:val="00117F3D"/>
    <w:rsid w:val="001500D1"/>
    <w:rsid w:val="0015106C"/>
    <w:rsid w:val="00151BAD"/>
    <w:rsid w:val="00151F1E"/>
    <w:rsid w:val="001535C9"/>
    <w:rsid w:val="00166EA5"/>
    <w:rsid w:val="00175747"/>
    <w:rsid w:val="00182C00"/>
    <w:rsid w:val="00184A7F"/>
    <w:rsid w:val="001877CA"/>
    <w:rsid w:val="001C0C23"/>
    <w:rsid w:val="001C0DAC"/>
    <w:rsid w:val="001C76F1"/>
    <w:rsid w:val="001E2ED1"/>
    <w:rsid w:val="001E56BE"/>
    <w:rsid w:val="001F08EB"/>
    <w:rsid w:val="001F6023"/>
    <w:rsid w:val="00226413"/>
    <w:rsid w:val="00237725"/>
    <w:rsid w:val="00251988"/>
    <w:rsid w:val="0025282D"/>
    <w:rsid w:val="0025683F"/>
    <w:rsid w:val="0026513B"/>
    <w:rsid w:val="00273447"/>
    <w:rsid w:val="00297A41"/>
    <w:rsid w:val="002B2FE6"/>
    <w:rsid w:val="002B49A2"/>
    <w:rsid w:val="002B6E55"/>
    <w:rsid w:val="002D5BA7"/>
    <w:rsid w:val="002E3FBF"/>
    <w:rsid w:val="002F09AD"/>
    <w:rsid w:val="00313BC8"/>
    <w:rsid w:val="00323F53"/>
    <w:rsid w:val="00325283"/>
    <w:rsid w:val="0034711A"/>
    <w:rsid w:val="00351A20"/>
    <w:rsid w:val="00354B2A"/>
    <w:rsid w:val="00355698"/>
    <w:rsid w:val="0036047B"/>
    <w:rsid w:val="0036164F"/>
    <w:rsid w:val="00376237"/>
    <w:rsid w:val="003777D6"/>
    <w:rsid w:val="0038045B"/>
    <w:rsid w:val="003822E9"/>
    <w:rsid w:val="003824FA"/>
    <w:rsid w:val="00391F68"/>
    <w:rsid w:val="00395E95"/>
    <w:rsid w:val="003A4ED7"/>
    <w:rsid w:val="003A504D"/>
    <w:rsid w:val="003C4F07"/>
    <w:rsid w:val="003C501D"/>
    <w:rsid w:val="003D175B"/>
    <w:rsid w:val="003E4A82"/>
    <w:rsid w:val="003F151C"/>
    <w:rsid w:val="003F6BF9"/>
    <w:rsid w:val="00403830"/>
    <w:rsid w:val="00407CDC"/>
    <w:rsid w:val="004241A8"/>
    <w:rsid w:val="00427DF0"/>
    <w:rsid w:val="00443EB9"/>
    <w:rsid w:val="00444040"/>
    <w:rsid w:val="0046457B"/>
    <w:rsid w:val="004C5632"/>
    <w:rsid w:val="004D16E9"/>
    <w:rsid w:val="004D7B32"/>
    <w:rsid w:val="004F68FA"/>
    <w:rsid w:val="004F6C97"/>
    <w:rsid w:val="004F6F0F"/>
    <w:rsid w:val="004F7134"/>
    <w:rsid w:val="00513069"/>
    <w:rsid w:val="00517070"/>
    <w:rsid w:val="00535CD5"/>
    <w:rsid w:val="00554F5D"/>
    <w:rsid w:val="005568A6"/>
    <w:rsid w:val="0056236D"/>
    <w:rsid w:val="0056369F"/>
    <w:rsid w:val="00570A24"/>
    <w:rsid w:val="00573B59"/>
    <w:rsid w:val="00575E48"/>
    <w:rsid w:val="0058039D"/>
    <w:rsid w:val="00586BDE"/>
    <w:rsid w:val="00587BA1"/>
    <w:rsid w:val="00590AF6"/>
    <w:rsid w:val="00595114"/>
    <w:rsid w:val="005A050A"/>
    <w:rsid w:val="005B0CFA"/>
    <w:rsid w:val="005B479F"/>
    <w:rsid w:val="005B7BB1"/>
    <w:rsid w:val="005D5EC0"/>
    <w:rsid w:val="005E2AD1"/>
    <w:rsid w:val="005E41DC"/>
    <w:rsid w:val="005E553F"/>
    <w:rsid w:val="0060578F"/>
    <w:rsid w:val="006061F4"/>
    <w:rsid w:val="006256C5"/>
    <w:rsid w:val="00627280"/>
    <w:rsid w:val="006422C1"/>
    <w:rsid w:val="00661FDB"/>
    <w:rsid w:val="00692B7F"/>
    <w:rsid w:val="00696251"/>
    <w:rsid w:val="006A3514"/>
    <w:rsid w:val="006B7441"/>
    <w:rsid w:val="006C5E8C"/>
    <w:rsid w:val="006C79EB"/>
    <w:rsid w:val="006D0428"/>
    <w:rsid w:val="006D1CC0"/>
    <w:rsid w:val="006D43A3"/>
    <w:rsid w:val="006E622E"/>
    <w:rsid w:val="006F5A71"/>
    <w:rsid w:val="007047CA"/>
    <w:rsid w:val="00744F36"/>
    <w:rsid w:val="00797E87"/>
    <w:rsid w:val="007C25D0"/>
    <w:rsid w:val="007C72D4"/>
    <w:rsid w:val="007D2C79"/>
    <w:rsid w:val="007E3ABB"/>
    <w:rsid w:val="007F1610"/>
    <w:rsid w:val="00811B3A"/>
    <w:rsid w:val="008148F1"/>
    <w:rsid w:val="008158FE"/>
    <w:rsid w:val="008246D1"/>
    <w:rsid w:val="008258D4"/>
    <w:rsid w:val="00825EA1"/>
    <w:rsid w:val="0083088C"/>
    <w:rsid w:val="0084628D"/>
    <w:rsid w:val="00850C03"/>
    <w:rsid w:val="00865A56"/>
    <w:rsid w:val="00867917"/>
    <w:rsid w:val="0087539A"/>
    <w:rsid w:val="00883FB4"/>
    <w:rsid w:val="00886337"/>
    <w:rsid w:val="008A2944"/>
    <w:rsid w:val="008D26EF"/>
    <w:rsid w:val="008E3B35"/>
    <w:rsid w:val="008E3F1E"/>
    <w:rsid w:val="008E5F6A"/>
    <w:rsid w:val="008E64E8"/>
    <w:rsid w:val="008F02C6"/>
    <w:rsid w:val="008F4EC9"/>
    <w:rsid w:val="009347D0"/>
    <w:rsid w:val="00935B68"/>
    <w:rsid w:val="009362EF"/>
    <w:rsid w:val="009369F5"/>
    <w:rsid w:val="00937DF9"/>
    <w:rsid w:val="0094332A"/>
    <w:rsid w:val="00960E66"/>
    <w:rsid w:val="00961EA6"/>
    <w:rsid w:val="009724B6"/>
    <w:rsid w:val="00975C92"/>
    <w:rsid w:val="00985E86"/>
    <w:rsid w:val="009944D5"/>
    <w:rsid w:val="009B0D6A"/>
    <w:rsid w:val="009B6BB1"/>
    <w:rsid w:val="009C5B8A"/>
    <w:rsid w:val="009D1349"/>
    <w:rsid w:val="009D564E"/>
    <w:rsid w:val="009E04C6"/>
    <w:rsid w:val="009E3B63"/>
    <w:rsid w:val="009F780F"/>
    <w:rsid w:val="00A02834"/>
    <w:rsid w:val="00A04659"/>
    <w:rsid w:val="00A066F6"/>
    <w:rsid w:val="00A16360"/>
    <w:rsid w:val="00A24391"/>
    <w:rsid w:val="00A25862"/>
    <w:rsid w:val="00A34AD9"/>
    <w:rsid w:val="00A43CA5"/>
    <w:rsid w:val="00A44C8C"/>
    <w:rsid w:val="00A46F3D"/>
    <w:rsid w:val="00A51519"/>
    <w:rsid w:val="00A57F57"/>
    <w:rsid w:val="00A827CD"/>
    <w:rsid w:val="00A8422A"/>
    <w:rsid w:val="00A91302"/>
    <w:rsid w:val="00A92AA3"/>
    <w:rsid w:val="00A971E1"/>
    <w:rsid w:val="00AA609A"/>
    <w:rsid w:val="00AC7F54"/>
    <w:rsid w:val="00AE3CEF"/>
    <w:rsid w:val="00B43B5B"/>
    <w:rsid w:val="00B43C11"/>
    <w:rsid w:val="00B445B1"/>
    <w:rsid w:val="00B4520C"/>
    <w:rsid w:val="00B5116F"/>
    <w:rsid w:val="00BB1251"/>
    <w:rsid w:val="00BB3387"/>
    <w:rsid w:val="00BB57BB"/>
    <w:rsid w:val="00BC78BF"/>
    <w:rsid w:val="00BD42F1"/>
    <w:rsid w:val="00BE778B"/>
    <w:rsid w:val="00BF5C32"/>
    <w:rsid w:val="00C12875"/>
    <w:rsid w:val="00C21CE5"/>
    <w:rsid w:val="00C51659"/>
    <w:rsid w:val="00C562FF"/>
    <w:rsid w:val="00C56F08"/>
    <w:rsid w:val="00C62CBB"/>
    <w:rsid w:val="00C64A36"/>
    <w:rsid w:val="00C66D4F"/>
    <w:rsid w:val="00C7211E"/>
    <w:rsid w:val="00C72718"/>
    <w:rsid w:val="00C77A95"/>
    <w:rsid w:val="00CA03A3"/>
    <w:rsid w:val="00CB4F06"/>
    <w:rsid w:val="00CD6C63"/>
    <w:rsid w:val="00CE694D"/>
    <w:rsid w:val="00D05BBE"/>
    <w:rsid w:val="00D23765"/>
    <w:rsid w:val="00D23CCA"/>
    <w:rsid w:val="00D34FF8"/>
    <w:rsid w:val="00D3864B"/>
    <w:rsid w:val="00D64021"/>
    <w:rsid w:val="00D66F73"/>
    <w:rsid w:val="00D8001A"/>
    <w:rsid w:val="00D80DCA"/>
    <w:rsid w:val="00DB41EF"/>
    <w:rsid w:val="00DC08C9"/>
    <w:rsid w:val="00DD126D"/>
    <w:rsid w:val="00DE04B7"/>
    <w:rsid w:val="00E03922"/>
    <w:rsid w:val="00E05335"/>
    <w:rsid w:val="00E11E4F"/>
    <w:rsid w:val="00E16E19"/>
    <w:rsid w:val="00E22FA7"/>
    <w:rsid w:val="00E304E8"/>
    <w:rsid w:val="00E37ED9"/>
    <w:rsid w:val="00E41D74"/>
    <w:rsid w:val="00E612FA"/>
    <w:rsid w:val="00E61545"/>
    <w:rsid w:val="00E64C00"/>
    <w:rsid w:val="00E64EF6"/>
    <w:rsid w:val="00E752AA"/>
    <w:rsid w:val="00E90BC7"/>
    <w:rsid w:val="00EA6DD3"/>
    <w:rsid w:val="00EA7B56"/>
    <w:rsid w:val="00EB781D"/>
    <w:rsid w:val="00EB79CA"/>
    <w:rsid w:val="00EB7F8B"/>
    <w:rsid w:val="00EC1632"/>
    <w:rsid w:val="00EC223A"/>
    <w:rsid w:val="00EC5246"/>
    <w:rsid w:val="00ED4FC6"/>
    <w:rsid w:val="00EE5357"/>
    <w:rsid w:val="00EF1AEC"/>
    <w:rsid w:val="00EF7E94"/>
    <w:rsid w:val="00F15EBC"/>
    <w:rsid w:val="00F27D84"/>
    <w:rsid w:val="00F52B1C"/>
    <w:rsid w:val="00F65D0C"/>
    <w:rsid w:val="00F75682"/>
    <w:rsid w:val="00F77400"/>
    <w:rsid w:val="00F84371"/>
    <w:rsid w:val="00F920C0"/>
    <w:rsid w:val="00F96E31"/>
    <w:rsid w:val="00FA2160"/>
    <w:rsid w:val="00FB0E63"/>
    <w:rsid w:val="00FB62D4"/>
    <w:rsid w:val="00FC3EEE"/>
    <w:rsid w:val="00FC787A"/>
    <w:rsid w:val="00FD391E"/>
    <w:rsid w:val="00FD6292"/>
    <w:rsid w:val="00FF48A2"/>
    <w:rsid w:val="01E17B53"/>
    <w:rsid w:val="0252D84C"/>
    <w:rsid w:val="0306A8EE"/>
    <w:rsid w:val="0412B7A5"/>
    <w:rsid w:val="048EBD90"/>
    <w:rsid w:val="051E276E"/>
    <w:rsid w:val="05354647"/>
    <w:rsid w:val="05CE8660"/>
    <w:rsid w:val="067FEB7D"/>
    <w:rsid w:val="06DCA76B"/>
    <w:rsid w:val="071E9246"/>
    <w:rsid w:val="073D832B"/>
    <w:rsid w:val="07B65D70"/>
    <w:rsid w:val="096D92B0"/>
    <w:rsid w:val="09B93CFC"/>
    <w:rsid w:val="0B56DF5D"/>
    <w:rsid w:val="0BDB117F"/>
    <w:rsid w:val="0BE09235"/>
    <w:rsid w:val="0C42A190"/>
    <w:rsid w:val="0D27ECA0"/>
    <w:rsid w:val="0DF0E4A8"/>
    <w:rsid w:val="0E57899F"/>
    <w:rsid w:val="10DF2F6D"/>
    <w:rsid w:val="117B204C"/>
    <w:rsid w:val="117FE7C8"/>
    <w:rsid w:val="133FFCC6"/>
    <w:rsid w:val="1363558D"/>
    <w:rsid w:val="13FCD3EC"/>
    <w:rsid w:val="1512BE7E"/>
    <w:rsid w:val="16F8A53A"/>
    <w:rsid w:val="17310A7A"/>
    <w:rsid w:val="1803B821"/>
    <w:rsid w:val="1A49ECEC"/>
    <w:rsid w:val="1A4E711F"/>
    <w:rsid w:val="1B051316"/>
    <w:rsid w:val="1B52CBDE"/>
    <w:rsid w:val="1CAACDE2"/>
    <w:rsid w:val="1CC607AD"/>
    <w:rsid w:val="1D68AF9F"/>
    <w:rsid w:val="1F6087F4"/>
    <w:rsid w:val="200BDFB5"/>
    <w:rsid w:val="2201373F"/>
    <w:rsid w:val="22444C1E"/>
    <w:rsid w:val="23A582BF"/>
    <w:rsid w:val="24598D41"/>
    <w:rsid w:val="26141FDD"/>
    <w:rsid w:val="263599CC"/>
    <w:rsid w:val="26977656"/>
    <w:rsid w:val="2783CBF8"/>
    <w:rsid w:val="29A45B3D"/>
    <w:rsid w:val="29DC2AD9"/>
    <w:rsid w:val="2C7E3ADD"/>
    <w:rsid w:val="2CBCF160"/>
    <w:rsid w:val="2D453C26"/>
    <w:rsid w:val="2DD50B85"/>
    <w:rsid w:val="2E537A1F"/>
    <w:rsid w:val="2F14F7EB"/>
    <w:rsid w:val="2F92F12F"/>
    <w:rsid w:val="32D8161B"/>
    <w:rsid w:val="34E9344F"/>
    <w:rsid w:val="34FE9717"/>
    <w:rsid w:val="35A56AE7"/>
    <w:rsid w:val="371A5BC0"/>
    <w:rsid w:val="37941D50"/>
    <w:rsid w:val="37F81C23"/>
    <w:rsid w:val="37F93908"/>
    <w:rsid w:val="380B11F5"/>
    <w:rsid w:val="38DB50EA"/>
    <w:rsid w:val="39D90182"/>
    <w:rsid w:val="3A245C64"/>
    <w:rsid w:val="3A466523"/>
    <w:rsid w:val="3A4C3A23"/>
    <w:rsid w:val="3AC5DB5D"/>
    <w:rsid w:val="3B60E84C"/>
    <w:rsid w:val="3C0E90F6"/>
    <w:rsid w:val="3C2C536D"/>
    <w:rsid w:val="3CA17409"/>
    <w:rsid w:val="3CB6CFCD"/>
    <w:rsid w:val="3CB9D02A"/>
    <w:rsid w:val="3F2F77E5"/>
    <w:rsid w:val="3F6B8018"/>
    <w:rsid w:val="3FDFF365"/>
    <w:rsid w:val="40C10181"/>
    <w:rsid w:val="40DD3B54"/>
    <w:rsid w:val="41D9FD89"/>
    <w:rsid w:val="4223395C"/>
    <w:rsid w:val="431A6B87"/>
    <w:rsid w:val="434F12C3"/>
    <w:rsid w:val="43517B3C"/>
    <w:rsid w:val="43AF62B8"/>
    <w:rsid w:val="44074562"/>
    <w:rsid w:val="44EB0BC8"/>
    <w:rsid w:val="45470767"/>
    <w:rsid w:val="454F87F2"/>
    <w:rsid w:val="46CA75B8"/>
    <w:rsid w:val="49B47B7F"/>
    <w:rsid w:val="49DF38C0"/>
    <w:rsid w:val="4AAA4148"/>
    <w:rsid w:val="4C1EA61E"/>
    <w:rsid w:val="4D2FE440"/>
    <w:rsid w:val="4E11A9B6"/>
    <w:rsid w:val="4EE4F8A6"/>
    <w:rsid w:val="520E41DE"/>
    <w:rsid w:val="5350173B"/>
    <w:rsid w:val="546F7033"/>
    <w:rsid w:val="5585D561"/>
    <w:rsid w:val="56399A00"/>
    <w:rsid w:val="577EDE8C"/>
    <w:rsid w:val="5994531E"/>
    <w:rsid w:val="599F7915"/>
    <w:rsid w:val="5B606F5D"/>
    <w:rsid w:val="5C829B30"/>
    <w:rsid w:val="5D6F46E6"/>
    <w:rsid w:val="5D8F8680"/>
    <w:rsid w:val="5D9912A2"/>
    <w:rsid w:val="5DEE59A5"/>
    <w:rsid w:val="5EB47547"/>
    <w:rsid w:val="5F65CE8C"/>
    <w:rsid w:val="5FC17D3A"/>
    <w:rsid w:val="61DEFE7F"/>
    <w:rsid w:val="621EF130"/>
    <w:rsid w:val="6223FBE1"/>
    <w:rsid w:val="63B39EE3"/>
    <w:rsid w:val="644F142D"/>
    <w:rsid w:val="6504C740"/>
    <w:rsid w:val="65E89B5D"/>
    <w:rsid w:val="65F2D901"/>
    <w:rsid w:val="66238A91"/>
    <w:rsid w:val="67DE0355"/>
    <w:rsid w:val="693FD7E7"/>
    <w:rsid w:val="6A14A501"/>
    <w:rsid w:val="6B7BEFFC"/>
    <w:rsid w:val="6BF0B18C"/>
    <w:rsid w:val="6C28EB6A"/>
    <w:rsid w:val="6CC07F10"/>
    <w:rsid w:val="6D23A8A7"/>
    <w:rsid w:val="6D7B0B28"/>
    <w:rsid w:val="6DAF4104"/>
    <w:rsid w:val="6E102CE9"/>
    <w:rsid w:val="6F17554D"/>
    <w:rsid w:val="70CAF651"/>
    <w:rsid w:val="723E9227"/>
    <w:rsid w:val="73FCE22A"/>
    <w:rsid w:val="77759A03"/>
    <w:rsid w:val="77CB60B5"/>
    <w:rsid w:val="7877C5C2"/>
    <w:rsid w:val="7C28E65D"/>
    <w:rsid w:val="7DAFF613"/>
    <w:rsid w:val="7DDF9975"/>
    <w:rsid w:val="7E9F1C0C"/>
    <w:rsid w:val="7FC1D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3244"/>
  <w15:docId w15:val="{213AEF88-B071-4325-87CA-C93D9CD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E37ED9"/>
    <w:rPr>
      <w:rFonts w:ascii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047B"/>
    <w:pPr>
      <w:keepNext/>
      <w:keepLines/>
      <w:spacing w:before="40" w:after="0" w:line="259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37E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56C5"/>
    <w:pPr>
      <w:spacing w:before="100" w:beforeAutospacing="1" w:after="119" w:line="240" w:lineRule="auto"/>
    </w:pPr>
    <w:rPr>
      <w:rFonts w:eastAsia="Times New Roman"/>
      <w:lang w:eastAsia="pt-BR"/>
    </w:rPr>
  </w:style>
  <w:style w:type="table" w:styleId="Tabelacomgrade">
    <w:name w:val="Table Grid"/>
    <w:basedOn w:val="Tabelanormal"/>
    <w:uiPriority w:val="59"/>
    <w:rsid w:val="007D2C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cuodecorpodetexto">
    <w:name w:val="Body Text Indent"/>
    <w:basedOn w:val="Normal"/>
    <w:link w:val="RecuodecorpodetextoChar"/>
    <w:semiHidden/>
    <w:rsid w:val="007D2C79"/>
    <w:pPr>
      <w:spacing w:after="120" w:line="240" w:lineRule="auto"/>
      <w:ind w:left="283"/>
    </w:pPr>
    <w:rPr>
      <w:rFonts w:eastAsia="Times New Roman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semiHidden/>
    <w:rsid w:val="007D2C79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PargrafodaLista">
    <w:name w:val="List Paragraph"/>
    <w:aliases w:val="Numbering"/>
    <w:basedOn w:val="Normal"/>
    <w:link w:val="PargrafodaListaChar"/>
    <w:uiPriority w:val="34"/>
    <w:qFormat/>
    <w:rsid w:val="00E90BC7"/>
    <w:pPr>
      <w:ind w:left="720"/>
      <w:contextualSpacing/>
    </w:pPr>
  </w:style>
  <w:style w:type="character" w:styleId="Ttulo2Char" w:customStyle="1">
    <w:name w:val="Título 2 Char"/>
    <w:basedOn w:val="Fontepargpadro"/>
    <w:link w:val="Ttulo2"/>
    <w:uiPriority w:val="9"/>
    <w:rsid w:val="0036047B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PargrafodaListaChar" w:customStyle="1">
    <w:name w:val="Parágrafo da Lista Char"/>
    <w:aliases w:val="Numbering Char"/>
    <w:basedOn w:val="Fontepargpadro"/>
    <w:link w:val="PargrafodaLista"/>
    <w:uiPriority w:val="34"/>
    <w:rsid w:val="00360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20D88BDF0FF419699B0E13DB2DE1D" ma:contentTypeVersion="8" ma:contentTypeDescription="Crie um novo documento." ma:contentTypeScope="" ma:versionID="dbd9faa69d6ba3b384bb6c5aaf358df1">
  <xsd:schema xmlns:xsd="http://www.w3.org/2001/XMLSchema" xmlns:xs="http://www.w3.org/2001/XMLSchema" xmlns:p="http://schemas.microsoft.com/office/2006/metadata/properties" xmlns:ns2="96c0ec14-032e-4f9e-82f8-c926546aaaeb" targetNamespace="http://schemas.microsoft.com/office/2006/metadata/properties" ma:root="true" ma:fieldsID="711e6ef71a0771a26b3566a8bb9bd215" ns2:_="">
    <xsd:import namespace="96c0ec14-032e-4f9e-82f8-c926546aa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ec14-032e-4f9e-82f8-c926546aa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0BE86-AECC-4D60-A100-40BC04FC257A}"/>
</file>

<file path=customXml/itemProps2.xml><?xml version="1.0" encoding="utf-8"?>
<ds:datastoreItem xmlns:ds="http://schemas.openxmlformats.org/officeDocument/2006/customXml" ds:itemID="{19729793-803A-4BCC-94DD-81F0A8E76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D8CC5-D9F7-432A-A872-EBB0EC3241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Controladoria-Geral da União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Heleno Vieira Borges</dc:creator>
  <lastModifiedBy>Allan Del Cistia Mello</lastModifiedBy>
  <revision>8</revision>
  <dcterms:created xsi:type="dcterms:W3CDTF">2020-07-02T23:48:00.0000000Z</dcterms:created>
  <dcterms:modified xsi:type="dcterms:W3CDTF">2021-03-12T18:58:17.3039205Z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0x010100D8320D88BDF0FF419699B0E13DB2DE1D</vt:lpwstr>
  </property>
</Properties>
</file>