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4AE73" w14:textId="0B5C7FAF" w:rsidR="00427363" w:rsidRPr="00C93954" w:rsidRDefault="00427363" w:rsidP="009E3723">
      <w:pPr>
        <w:spacing w:after="120"/>
        <w:rPr>
          <w:rFonts w:ascii="Arial" w:hAnsi="Arial" w:cs="Arial"/>
          <w:color w:val="FF0000"/>
          <w:sz w:val="24"/>
          <w:szCs w:val="24"/>
        </w:rPr>
      </w:pPr>
      <w:bookmarkStart w:id="0" w:name="_GoBack"/>
      <w:r w:rsidRPr="00171ABC">
        <w:rPr>
          <w:rFonts w:ascii="Arial" w:hAnsi="Arial" w:cs="Arial"/>
          <w:b/>
          <w:sz w:val="28"/>
          <w:szCs w:val="28"/>
        </w:rPr>
        <w:t>N</w:t>
      </w:r>
      <w:r w:rsidR="004F6863">
        <w:rPr>
          <w:rFonts w:ascii="Arial" w:hAnsi="Arial" w:cs="Arial"/>
          <w:b/>
          <w:sz w:val="28"/>
          <w:szCs w:val="28"/>
        </w:rPr>
        <w:t>ota Técnica de Ad</w:t>
      </w:r>
      <w:r w:rsidR="004F6863" w:rsidRPr="00C93954">
        <w:rPr>
          <w:rFonts w:ascii="Arial" w:hAnsi="Arial" w:cs="Arial"/>
          <w:b/>
          <w:sz w:val="28"/>
          <w:szCs w:val="28"/>
        </w:rPr>
        <w:t>equação Orçamentária</w:t>
      </w:r>
      <w:r w:rsidR="00AB3679" w:rsidRPr="00C93954">
        <w:rPr>
          <w:rFonts w:ascii="Arial" w:hAnsi="Arial" w:cs="Arial"/>
          <w:b/>
          <w:sz w:val="28"/>
          <w:szCs w:val="28"/>
        </w:rPr>
        <w:t xml:space="preserve"> e Financeira</w:t>
      </w:r>
      <w:r w:rsidR="004F6863" w:rsidRPr="00C93954">
        <w:rPr>
          <w:rFonts w:ascii="Arial" w:hAnsi="Arial" w:cs="Arial"/>
          <w:b/>
          <w:sz w:val="28"/>
          <w:szCs w:val="28"/>
        </w:rPr>
        <w:t xml:space="preserve"> nº </w:t>
      </w:r>
      <w:r w:rsidR="00440E9D" w:rsidRPr="00C93954">
        <w:rPr>
          <w:rFonts w:ascii="Arial" w:hAnsi="Arial" w:cs="Arial"/>
          <w:b/>
          <w:sz w:val="28"/>
          <w:szCs w:val="28"/>
        </w:rPr>
        <w:t>51</w:t>
      </w:r>
      <w:r w:rsidRPr="00C93954">
        <w:rPr>
          <w:rFonts w:ascii="Arial" w:hAnsi="Arial" w:cs="Arial"/>
          <w:b/>
          <w:sz w:val="28"/>
          <w:szCs w:val="28"/>
        </w:rPr>
        <w:t>/20</w:t>
      </w:r>
      <w:r w:rsidR="0095176D" w:rsidRPr="00C93954">
        <w:rPr>
          <w:rFonts w:ascii="Arial" w:hAnsi="Arial" w:cs="Arial"/>
          <w:b/>
          <w:sz w:val="28"/>
          <w:szCs w:val="28"/>
        </w:rPr>
        <w:t>2</w:t>
      </w:r>
      <w:r w:rsidR="00440E9D" w:rsidRPr="00C93954">
        <w:rPr>
          <w:rFonts w:ascii="Arial" w:hAnsi="Arial" w:cs="Arial"/>
          <w:b/>
          <w:sz w:val="28"/>
          <w:szCs w:val="28"/>
        </w:rPr>
        <w:t>2</w:t>
      </w:r>
      <w:r w:rsidR="00227DE4" w:rsidRPr="00C93954">
        <w:rPr>
          <w:rFonts w:ascii="Arial" w:hAnsi="Arial" w:cs="Arial"/>
          <w:b/>
          <w:sz w:val="28"/>
          <w:szCs w:val="28"/>
        </w:rPr>
        <w:t>.</w:t>
      </w:r>
      <w:r w:rsidRPr="00C93954">
        <w:rPr>
          <w:rFonts w:ascii="Arial" w:hAnsi="Arial" w:cs="Arial"/>
          <w:color w:val="FF0000"/>
          <w:sz w:val="24"/>
          <w:szCs w:val="24"/>
        </w:rPr>
        <w:tab/>
      </w:r>
    </w:p>
    <w:p w14:paraId="1EC5561C" w14:textId="71C2F59C" w:rsidR="00427363" w:rsidRPr="00C93954" w:rsidRDefault="00C66E43" w:rsidP="009E3723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C93954">
        <w:rPr>
          <w:rFonts w:ascii="Arial" w:hAnsi="Arial" w:cs="Arial"/>
          <w:sz w:val="22"/>
          <w:szCs w:val="22"/>
        </w:rPr>
        <w:t xml:space="preserve">Em </w:t>
      </w:r>
      <w:r w:rsidR="00C93954" w:rsidRPr="00C93954">
        <w:rPr>
          <w:rFonts w:ascii="Arial" w:hAnsi="Arial" w:cs="Arial"/>
          <w:sz w:val="22"/>
          <w:szCs w:val="22"/>
        </w:rPr>
        <w:t>01</w:t>
      </w:r>
      <w:r w:rsidR="00427363" w:rsidRPr="00C93954">
        <w:rPr>
          <w:rFonts w:ascii="Arial" w:hAnsi="Arial" w:cs="Arial"/>
          <w:sz w:val="22"/>
          <w:szCs w:val="22"/>
        </w:rPr>
        <w:t xml:space="preserve"> de </w:t>
      </w:r>
      <w:r w:rsidR="00C93954" w:rsidRPr="00C93954">
        <w:rPr>
          <w:rFonts w:ascii="Arial" w:hAnsi="Arial" w:cs="Arial"/>
          <w:sz w:val="22"/>
          <w:szCs w:val="22"/>
        </w:rPr>
        <w:t>dezembr</w:t>
      </w:r>
      <w:r w:rsidRPr="00C93954">
        <w:rPr>
          <w:rFonts w:ascii="Arial" w:hAnsi="Arial" w:cs="Arial"/>
          <w:sz w:val="22"/>
          <w:szCs w:val="22"/>
        </w:rPr>
        <w:t>o</w:t>
      </w:r>
      <w:r w:rsidR="00427363" w:rsidRPr="00C93954">
        <w:rPr>
          <w:rFonts w:ascii="Arial" w:hAnsi="Arial" w:cs="Arial"/>
          <w:sz w:val="22"/>
          <w:szCs w:val="22"/>
        </w:rPr>
        <w:t xml:space="preserve"> de 20</w:t>
      </w:r>
      <w:r w:rsidR="0095176D" w:rsidRPr="00C93954">
        <w:rPr>
          <w:rFonts w:ascii="Arial" w:hAnsi="Arial" w:cs="Arial"/>
          <w:sz w:val="22"/>
          <w:szCs w:val="22"/>
        </w:rPr>
        <w:t>2</w:t>
      </w:r>
      <w:r w:rsidR="00C93954" w:rsidRPr="00C93954">
        <w:rPr>
          <w:rFonts w:ascii="Arial" w:hAnsi="Arial" w:cs="Arial"/>
          <w:sz w:val="22"/>
          <w:szCs w:val="22"/>
        </w:rPr>
        <w:t>2</w:t>
      </w:r>
      <w:r w:rsidR="00427363" w:rsidRPr="00C93954">
        <w:rPr>
          <w:rFonts w:ascii="Arial" w:hAnsi="Arial" w:cs="Arial"/>
          <w:sz w:val="22"/>
          <w:szCs w:val="22"/>
        </w:rPr>
        <w:t>.</w:t>
      </w:r>
    </w:p>
    <w:p w14:paraId="13852BF8" w14:textId="77777777" w:rsidR="00427363" w:rsidRPr="00C93954" w:rsidRDefault="00427363" w:rsidP="009E3723">
      <w:pPr>
        <w:tabs>
          <w:tab w:val="left" w:pos="2295"/>
        </w:tabs>
        <w:spacing w:after="120"/>
        <w:rPr>
          <w:rFonts w:ascii="Arial" w:hAnsi="Arial" w:cs="Arial"/>
          <w:sz w:val="24"/>
          <w:szCs w:val="24"/>
        </w:rPr>
      </w:pPr>
      <w:r w:rsidRPr="00C93954">
        <w:rPr>
          <w:rFonts w:ascii="Arial" w:hAnsi="Arial" w:cs="Arial"/>
          <w:sz w:val="24"/>
          <w:szCs w:val="24"/>
        </w:rPr>
        <w:tab/>
      </w:r>
    </w:p>
    <w:p w14:paraId="76F47A9E" w14:textId="5C2957D5" w:rsidR="00427363" w:rsidRPr="000D663E" w:rsidRDefault="00427363" w:rsidP="001C69EE">
      <w:pPr>
        <w:spacing w:after="240"/>
        <w:ind w:left="3402"/>
        <w:jc w:val="both"/>
        <w:rPr>
          <w:rFonts w:ascii="Arial" w:hAnsi="Arial" w:cs="Arial"/>
          <w:sz w:val="24"/>
          <w:szCs w:val="24"/>
        </w:rPr>
      </w:pPr>
      <w:r w:rsidRPr="00C93954">
        <w:rPr>
          <w:rFonts w:ascii="Arial" w:hAnsi="Arial" w:cs="Arial"/>
          <w:b/>
          <w:sz w:val="24"/>
          <w:szCs w:val="24"/>
        </w:rPr>
        <w:t>Assunto:</w:t>
      </w:r>
      <w:r w:rsidRPr="00C93954">
        <w:rPr>
          <w:rFonts w:ascii="Arial" w:hAnsi="Arial" w:cs="Arial"/>
          <w:sz w:val="24"/>
          <w:szCs w:val="24"/>
        </w:rPr>
        <w:t xml:space="preserve"> </w:t>
      </w:r>
      <w:r w:rsidR="0004570B" w:rsidRPr="00C93954">
        <w:rPr>
          <w:rFonts w:ascii="Arial" w:hAnsi="Arial" w:cs="Arial"/>
          <w:sz w:val="24"/>
          <w:szCs w:val="24"/>
        </w:rPr>
        <w:t xml:space="preserve">subsídios para análise da adequação orçamentária e financeira da Medida Provisória nº </w:t>
      </w:r>
      <w:r w:rsidR="00C93954" w:rsidRPr="00C93954">
        <w:rPr>
          <w:rFonts w:ascii="Arial" w:hAnsi="Arial" w:cs="Arial"/>
          <w:sz w:val="24"/>
          <w:szCs w:val="24"/>
        </w:rPr>
        <w:t>1.142</w:t>
      </w:r>
      <w:r w:rsidR="0004570B" w:rsidRPr="00C93954">
        <w:rPr>
          <w:rFonts w:ascii="Arial" w:hAnsi="Arial" w:cs="Arial"/>
          <w:sz w:val="24"/>
          <w:szCs w:val="24"/>
        </w:rPr>
        <w:t xml:space="preserve">, de </w:t>
      </w:r>
      <w:r w:rsidR="00C93954" w:rsidRPr="00C93954">
        <w:rPr>
          <w:rFonts w:ascii="Arial" w:hAnsi="Arial" w:cs="Arial"/>
          <w:sz w:val="24"/>
          <w:szCs w:val="24"/>
        </w:rPr>
        <w:t>29</w:t>
      </w:r>
      <w:r w:rsidR="0004570B" w:rsidRPr="00C93954">
        <w:rPr>
          <w:rFonts w:ascii="Arial" w:hAnsi="Arial" w:cs="Arial"/>
          <w:sz w:val="24"/>
          <w:szCs w:val="24"/>
        </w:rPr>
        <w:t xml:space="preserve"> de </w:t>
      </w:r>
      <w:r w:rsidR="00C93954" w:rsidRPr="00C93954">
        <w:rPr>
          <w:rFonts w:ascii="Arial" w:hAnsi="Arial" w:cs="Arial"/>
          <w:sz w:val="24"/>
          <w:szCs w:val="24"/>
        </w:rPr>
        <w:t>novembro</w:t>
      </w:r>
      <w:r w:rsidR="0004570B" w:rsidRPr="00C93954">
        <w:rPr>
          <w:rFonts w:ascii="Arial" w:hAnsi="Arial" w:cs="Arial"/>
          <w:sz w:val="24"/>
          <w:szCs w:val="24"/>
        </w:rPr>
        <w:t xml:space="preserve"> de 20</w:t>
      </w:r>
      <w:r w:rsidR="00C22DE7" w:rsidRPr="00C93954">
        <w:rPr>
          <w:rFonts w:ascii="Arial" w:hAnsi="Arial" w:cs="Arial"/>
          <w:sz w:val="24"/>
          <w:szCs w:val="24"/>
        </w:rPr>
        <w:t>2</w:t>
      </w:r>
      <w:r w:rsidR="00C93954" w:rsidRPr="00C93954">
        <w:rPr>
          <w:rFonts w:ascii="Arial" w:hAnsi="Arial" w:cs="Arial"/>
          <w:sz w:val="24"/>
          <w:szCs w:val="24"/>
        </w:rPr>
        <w:t>2</w:t>
      </w:r>
      <w:r w:rsidR="0004570B" w:rsidRPr="00C93954">
        <w:rPr>
          <w:rFonts w:ascii="Arial" w:hAnsi="Arial" w:cs="Arial"/>
          <w:sz w:val="24"/>
          <w:szCs w:val="24"/>
        </w:rPr>
        <w:t xml:space="preserve">, que </w:t>
      </w:r>
      <w:r w:rsidR="00980D45" w:rsidRPr="00C93954">
        <w:rPr>
          <w:rFonts w:ascii="Arial" w:hAnsi="Arial" w:cs="Arial"/>
          <w:i/>
          <w:sz w:val="24"/>
        </w:rPr>
        <w:t>“</w:t>
      </w:r>
      <w:r w:rsidR="00C93954" w:rsidRPr="00C93954">
        <w:rPr>
          <w:rFonts w:ascii="Arial" w:hAnsi="Arial" w:cs="Arial"/>
          <w:i/>
          <w:sz w:val="24"/>
        </w:rPr>
        <w:t>Autoriza a prorrogação de contratos por tempo determinado no âmbito do Ministério da Saúde</w:t>
      </w:r>
      <w:r w:rsidR="00980D45" w:rsidRPr="00C93954">
        <w:rPr>
          <w:rFonts w:ascii="Arial" w:hAnsi="Arial" w:cs="Arial"/>
          <w:i/>
          <w:sz w:val="24"/>
        </w:rPr>
        <w:t>.”</w:t>
      </w:r>
      <w:r w:rsidR="00980D45" w:rsidRPr="004F6863">
        <w:rPr>
          <w:rFonts w:ascii="Arial" w:hAnsi="Arial" w:cs="Arial"/>
          <w:sz w:val="24"/>
        </w:rPr>
        <w:t xml:space="preserve"> </w:t>
      </w:r>
    </w:p>
    <w:bookmarkEnd w:id="0"/>
    <w:p w14:paraId="7CF628A6" w14:textId="16D178FD" w:rsidR="00D56C54" w:rsidRPr="00D56C54" w:rsidRDefault="00D56C54" w:rsidP="00D56C54">
      <w:pPr>
        <w:pStyle w:val="Ttulo3"/>
        <w:spacing w:after="720"/>
        <w:ind w:left="3540"/>
        <w:jc w:val="both"/>
        <w:rPr>
          <w:b w:val="0"/>
          <w:bCs w:val="0"/>
          <w:color w:val="FF0000"/>
          <w:sz w:val="24"/>
          <w:szCs w:val="24"/>
        </w:rPr>
      </w:pPr>
      <w:r w:rsidRPr="00C22DE7">
        <w:rPr>
          <w:bCs w:val="0"/>
          <w:sz w:val="24"/>
          <w:szCs w:val="24"/>
        </w:rPr>
        <w:t>Interessad</w:t>
      </w:r>
      <w:r w:rsidR="00604893" w:rsidRPr="00C22DE7">
        <w:rPr>
          <w:bCs w:val="0"/>
          <w:sz w:val="24"/>
          <w:szCs w:val="24"/>
        </w:rPr>
        <w:t>os</w:t>
      </w:r>
      <w:r w:rsidRPr="00C22DE7">
        <w:rPr>
          <w:bCs w:val="0"/>
          <w:sz w:val="24"/>
          <w:szCs w:val="24"/>
        </w:rPr>
        <w:t xml:space="preserve">: </w:t>
      </w:r>
      <w:r w:rsidRPr="00C22DE7">
        <w:rPr>
          <w:b w:val="0"/>
          <w:sz w:val="24"/>
          <w:szCs w:val="24"/>
        </w:rPr>
        <w:t>Plenários da Câmara dos Deputados e do Senado Federal.</w:t>
      </w:r>
      <w:r w:rsidRPr="00C22DE7">
        <w:rPr>
          <w:rFonts w:cs="Times New Roman"/>
          <w:b w:val="0"/>
          <w:bCs w:val="0"/>
          <w:color w:val="FF0000"/>
          <w:sz w:val="24"/>
          <w:szCs w:val="24"/>
        </w:rPr>
        <w:t xml:space="preserve"> </w:t>
      </w:r>
    </w:p>
    <w:p w14:paraId="10DE6B54" w14:textId="77777777" w:rsidR="00D56C54" w:rsidRPr="00D56C54" w:rsidRDefault="00D56C54" w:rsidP="00D56C54"/>
    <w:p w14:paraId="7AF6E04C" w14:textId="77777777" w:rsidR="004F6863" w:rsidRDefault="00427363" w:rsidP="000D663E">
      <w:pPr>
        <w:pStyle w:val="Ttulo1"/>
        <w:spacing w:after="240"/>
        <w:jc w:val="both"/>
        <w:rPr>
          <w:sz w:val="24"/>
          <w:szCs w:val="19"/>
        </w:rPr>
      </w:pPr>
      <w:r w:rsidRPr="00171ABC">
        <w:rPr>
          <w:sz w:val="24"/>
          <w:szCs w:val="19"/>
        </w:rPr>
        <w:t>1</w:t>
      </w:r>
      <w:r w:rsidRPr="00171ABC">
        <w:rPr>
          <w:sz w:val="24"/>
          <w:szCs w:val="19"/>
        </w:rPr>
        <w:tab/>
      </w:r>
      <w:r w:rsidR="00EE252A">
        <w:rPr>
          <w:sz w:val="24"/>
          <w:szCs w:val="19"/>
        </w:rPr>
        <w:t>Introdução</w:t>
      </w:r>
      <w:r w:rsidRPr="00171ABC">
        <w:rPr>
          <w:sz w:val="24"/>
          <w:szCs w:val="19"/>
        </w:rPr>
        <w:t xml:space="preserve"> </w:t>
      </w:r>
    </w:p>
    <w:p w14:paraId="19D7E376" w14:textId="77777777" w:rsidR="00E72A8B" w:rsidRPr="00E72A8B" w:rsidRDefault="00E72A8B" w:rsidP="00E72A8B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2A8B">
        <w:rPr>
          <w:rFonts w:ascii="Arial" w:hAnsi="Arial" w:cs="Arial"/>
          <w:sz w:val="24"/>
          <w:szCs w:val="24"/>
        </w:rPr>
        <w:t>A presente nota técnica atende à determinação constante do art. 19 da Resolução nº 1, de 2002-CN, que estabelece:</w:t>
      </w:r>
    </w:p>
    <w:p w14:paraId="0A3DD573" w14:textId="77777777" w:rsidR="00E72A8B" w:rsidRPr="001B50FF" w:rsidRDefault="00E72A8B" w:rsidP="009777B5">
      <w:pPr>
        <w:spacing w:after="120"/>
        <w:ind w:left="2310"/>
        <w:jc w:val="both"/>
        <w:rPr>
          <w:rFonts w:ascii="Arial" w:hAnsi="Arial" w:cs="Arial"/>
          <w:iCs/>
          <w:sz w:val="22"/>
          <w:szCs w:val="22"/>
        </w:rPr>
      </w:pPr>
      <w:r w:rsidRPr="001B50FF">
        <w:rPr>
          <w:rFonts w:ascii="Arial" w:hAnsi="Arial" w:cs="Arial"/>
          <w:iCs/>
          <w:sz w:val="22"/>
          <w:szCs w:val="22"/>
        </w:rPr>
        <w:t>Art. 19. O órgão de consultoria e assessoramento orçamentário da Casa a que pertencer o Relator da Medida Provisória encaminhará aos Relatores e à Comissão, no prazo de 5 (cinco) dias de sua publicação, nota técnica com subsídios acerca da adequação financeira e orçame</w:t>
      </w:r>
      <w:r w:rsidR="001B50FF">
        <w:rPr>
          <w:rFonts w:ascii="Arial" w:hAnsi="Arial" w:cs="Arial"/>
          <w:iCs/>
          <w:sz w:val="22"/>
          <w:szCs w:val="22"/>
        </w:rPr>
        <w:t>ntária de Medida Provisória</w:t>
      </w:r>
      <w:r w:rsidRPr="001B50FF">
        <w:rPr>
          <w:rFonts w:ascii="Arial" w:hAnsi="Arial" w:cs="Arial"/>
          <w:iCs/>
          <w:sz w:val="22"/>
          <w:szCs w:val="22"/>
        </w:rPr>
        <w:t>.</w:t>
      </w:r>
    </w:p>
    <w:p w14:paraId="01325D5F" w14:textId="1E387831" w:rsidR="00E72A8B" w:rsidRDefault="00E72A8B" w:rsidP="00E72A8B">
      <w:pPr>
        <w:pStyle w:val="Recuodecorpodetexto2"/>
        <w:spacing w:after="120" w:line="360" w:lineRule="auto"/>
        <w:rPr>
          <w:rFonts w:ascii="Arial" w:hAnsi="Arial" w:cs="Arial"/>
          <w:b w:val="0"/>
          <w:color w:val="auto"/>
          <w:szCs w:val="24"/>
        </w:rPr>
      </w:pPr>
      <w:r w:rsidRPr="00E72A8B">
        <w:rPr>
          <w:rFonts w:ascii="Arial" w:hAnsi="Arial" w:cs="Arial"/>
          <w:b w:val="0"/>
          <w:color w:val="auto"/>
          <w:szCs w:val="24"/>
        </w:rPr>
        <w:t>No art. 62, § 9º, a Constituição Federal determina que caberá a uma comissão mista de Deputados e Senadores examinar as medidas provisórias e sobre elas emitir parecer, antes de serem apreciadas, em sessões separadas, pelo Plenário de cada uma das Casas do Congresso Nacional.</w:t>
      </w:r>
    </w:p>
    <w:p w14:paraId="43E53CAE" w14:textId="58D3FAE5" w:rsidR="00B075FB" w:rsidRPr="007E0C7F" w:rsidRDefault="00B075FB" w:rsidP="00B075FB">
      <w:pPr>
        <w:pStyle w:val="Recuodecorpodetexto2"/>
        <w:spacing w:after="120" w:line="360" w:lineRule="auto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Entretanto, cabe mencionar que ainda prevalece o rito estabelecido n</w:t>
      </w:r>
      <w:r w:rsidRPr="007E0C7F">
        <w:rPr>
          <w:rFonts w:ascii="Arial" w:hAnsi="Arial" w:cs="Arial"/>
          <w:b w:val="0"/>
          <w:color w:val="auto"/>
          <w:szCs w:val="24"/>
        </w:rPr>
        <w:t>o Ato Conjunto das Mesas da Câmara dos Deputados e do Senado Federal nº 1, de 2020</w:t>
      </w:r>
      <w:r>
        <w:rPr>
          <w:rFonts w:ascii="Arial" w:hAnsi="Arial" w:cs="Arial"/>
          <w:b w:val="0"/>
          <w:color w:val="auto"/>
          <w:szCs w:val="24"/>
        </w:rPr>
        <w:t xml:space="preserve">, que, </w:t>
      </w:r>
      <w:r w:rsidRPr="007E0C7F">
        <w:rPr>
          <w:rFonts w:ascii="Arial" w:hAnsi="Arial" w:cs="Arial"/>
          <w:b w:val="0"/>
          <w:color w:val="auto"/>
          <w:szCs w:val="24"/>
        </w:rPr>
        <w:t xml:space="preserve">em decorrência da pandemia da Covid-19, </w:t>
      </w:r>
      <w:r>
        <w:rPr>
          <w:rFonts w:ascii="Arial" w:hAnsi="Arial" w:cs="Arial"/>
          <w:b w:val="0"/>
          <w:color w:val="auto"/>
          <w:szCs w:val="24"/>
        </w:rPr>
        <w:t xml:space="preserve">modificou </w:t>
      </w:r>
      <w:r w:rsidRPr="007E0C7F">
        <w:rPr>
          <w:rFonts w:ascii="Arial" w:hAnsi="Arial" w:cs="Arial"/>
          <w:b w:val="0"/>
          <w:color w:val="auto"/>
          <w:szCs w:val="24"/>
        </w:rPr>
        <w:t xml:space="preserve">a tramitação e a forma de apreciação de medidas provisórias, </w:t>
      </w:r>
      <w:r>
        <w:rPr>
          <w:rFonts w:ascii="Arial" w:hAnsi="Arial" w:cs="Arial"/>
          <w:b w:val="0"/>
          <w:color w:val="auto"/>
          <w:szCs w:val="24"/>
        </w:rPr>
        <w:t>sendo autorizada</w:t>
      </w:r>
      <w:r w:rsidRPr="007E0C7F">
        <w:rPr>
          <w:rFonts w:ascii="Arial" w:hAnsi="Arial" w:cs="Arial"/>
          <w:b w:val="0"/>
          <w:color w:val="auto"/>
          <w:szCs w:val="24"/>
        </w:rPr>
        <w:t xml:space="preserve"> a instrução de</w:t>
      </w:r>
      <w:r>
        <w:rPr>
          <w:rFonts w:ascii="Arial" w:hAnsi="Arial" w:cs="Arial"/>
          <w:b w:val="0"/>
          <w:color w:val="auto"/>
          <w:szCs w:val="24"/>
        </w:rPr>
        <w:t>ssas proposições</w:t>
      </w:r>
      <w:r w:rsidRPr="007E0C7F">
        <w:rPr>
          <w:rFonts w:ascii="Arial" w:hAnsi="Arial" w:cs="Arial"/>
          <w:b w:val="0"/>
          <w:color w:val="auto"/>
          <w:szCs w:val="24"/>
        </w:rPr>
        <w:t xml:space="preserve"> nos Plenários da Câmara e do Senado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Pr="007E0C7F">
        <w:rPr>
          <w:rFonts w:ascii="Arial" w:hAnsi="Arial" w:cs="Arial"/>
          <w:b w:val="0"/>
          <w:color w:val="auto"/>
          <w:szCs w:val="24"/>
        </w:rPr>
        <w:t xml:space="preserve">com a emissão de parecer por parlamentar de </w:t>
      </w:r>
      <w:r w:rsidRPr="007E0C7F">
        <w:rPr>
          <w:rFonts w:ascii="Arial" w:hAnsi="Arial" w:cs="Arial"/>
          <w:b w:val="0"/>
          <w:color w:val="auto"/>
          <w:szCs w:val="24"/>
        </w:rPr>
        <w:lastRenderedPageBreak/>
        <w:t>cada uma das Casas em substituição à comissão mista</w:t>
      </w:r>
      <w:r>
        <w:rPr>
          <w:rFonts w:ascii="Arial" w:hAnsi="Arial" w:cs="Arial"/>
          <w:b w:val="0"/>
          <w:color w:val="auto"/>
          <w:szCs w:val="24"/>
        </w:rPr>
        <w:t xml:space="preserve"> prevista no citado § 9º do art. 62 da Constituição.</w:t>
      </w:r>
    </w:p>
    <w:p w14:paraId="7336EFC6" w14:textId="061AFA57" w:rsidR="00E72A8B" w:rsidRPr="00E72A8B" w:rsidRDefault="00E72A8B" w:rsidP="000D663E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2A8B">
        <w:rPr>
          <w:rFonts w:ascii="Arial" w:hAnsi="Arial" w:cs="Arial"/>
          <w:sz w:val="24"/>
          <w:szCs w:val="24"/>
        </w:rPr>
        <w:t xml:space="preserve">A nota técnica deve atender ao disposto no art. 5º, § 1º, da </w:t>
      </w:r>
      <w:r w:rsidR="002229FF">
        <w:rPr>
          <w:rFonts w:ascii="Arial" w:hAnsi="Arial" w:cs="Arial"/>
          <w:sz w:val="24"/>
          <w:szCs w:val="24"/>
        </w:rPr>
        <w:t>R</w:t>
      </w:r>
      <w:r w:rsidRPr="00E72A8B">
        <w:rPr>
          <w:rFonts w:ascii="Arial" w:hAnsi="Arial" w:cs="Arial"/>
          <w:sz w:val="24"/>
          <w:szCs w:val="24"/>
        </w:rPr>
        <w:t>esolução nº 1, de 2002-CN, que prescreve os requisitos a serem abordados quando do exame de compatibilidade e adequação orçamentária e financeira: “</w:t>
      </w:r>
      <w:r w:rsidRPr="00E72A8B">
        <w:rPr>
          <w:rFonts w:ascii="Arial" w:hAnsi="Arial" w:cs="Arial"/>
          <w:i/>
          <w:iCs/>
          <w:sz w:val="24"/>
          <w:szCs w:val="24"/>
        </w:rPr>
        <w:t xml:space="preserve">análise da repercussão sobre a receita ou a despesa pública da União e da implicação quanto ao atendimento das normas orçamentárias e financeiras vigentes, em especial a conformidade com a Lei Complementar nº 101, de </w:t>
      </w:r>
      <w:smartTag w:uri="urn:schemas-microsoft-com:office:smarttags" w:element="metricconverter">
        <w:smartTagPr>
          <w:attr w:name="ProductID" w:val="2000, a"/>
        </w:smartTagPr>
        <w:r w:rsidRPr="00E72A8B">
          <w:rPr>
            <w:rFonts w:ascii="Arial" w:hAnsi="Arial" w:cs="Arial"/>
            <w:i/>
            <w:iCs/>
            <w:sz w:val="24"/>
            <w:szCs w:val="24"/>
          </w:rPr>
          <w:t>2000, a</w:t>
        </w:r>
      </w:smartTag>
      <w:r w:rsidRPr="00E72A8B">
        <w:rPr>
          <w:rFonts w:ascii="Arial" w:hAnsi="Arial" w:cs="Arial"/>
          <w:i/>
          <w:iCs/>
          <w:sz w:val="24"/>
          <w:szCs w:val="24"/>
        </w:rPr>
        <w:t xml:space="preserve"> lei do plano plurianual, a lei de diretrizes orçamentárias e a lei orçamentária da União</w:t>
      </w:r>
      <w:r w:rsidRPr="00E72A8B">
        <w:rPr>
          <w:rFonts w:ascii="Arial" w:hAnsi="Arial" w:cs="Arial"/>
          <w:sz w:val="24"/>
          <w:szCs w:val="24"/>
        </w:rPr>
        <w:t>”.</w:t>
      </w:r>
    </w:p>
    <w:p w14:paraId="1D9973DA" w14:textId="039CB03F" w:rsidR="00E72A8B" w:rsidRDefault="00E72A8B" w:rsidP="000D663E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2A8B">
        <w:rPr>
          <w:rFonts w:ascii="Arial" w:hAnsi="Arial" w:cs="Arial"/>
          <w:sz w:val="24"/>
          <w:szCs w:val="24"/>
        </w:rPr>
        <w:t>Para a apreciação da medida provisória em questão compete a esta Consultoria de Orçamentos, Fiscalização e Controle elaborar a respectiva nota técnica acerca de sua adequação orçamentária e financeira.</w:t>
      </w:r>
    </w:p>
    <w:p w14:paraId="22FE4298" w14:textId="77777777" w:rsidR="00427363" w:rsidRPr="00171ABC" w:rsidRDefault="00427363" w:rsidP="000D663E">
      <w:pPr>
        <w:pStyle w:val="TextosemFormatao"/>
        <w:spacing w:before="240" w:after="240"/>
        <w:ind w:firstLine="0"/>
        <w:rPr>
          <w:rFonts w:cs="Arial"/>
          <w:b/>
          <w:bCs/>
          <w:szCs w:val="19"/>
        </w:rPr>
      </w:pPr>
      <w:r w:rsidRPr="00171ABC">
        <w:rPr>
          <w:rFonts w:cs="Arial"/>
          <w:b/>
          <w:bCs/>
          <w:szCs w:val="19"/>
        </w:rPr>
        <w:t>2</w:t>
      </w:r>
      <w:r w:rsidRPr="00171ABC">
        <w:rPr>
          <w:rFonts w:cs="Arial"/>
          <w:b/>
          <w:bCs/>
          <w:szCs w:val="19"/>
        </w:rPr>
        <w:tab/>
      </w:r>
      <w:r w:rsidR="003E499B">
        <w:rPr>
          <w:rFonts w:cs="Arial"/>
          <w:b/>
          <w:bCs/>
          <w:szCs w:val="19"/>
        </w:rPr>
        <w:t>Síntese da medida p</w:t>
      </w:r>
      <w:r w:rsidR="00584816">
        <w:rPr>
          <w:rFonts w:cs="Arial"/>
          <w:b/>
          <w:bCs/>
          <w:szCs w:val="19"/>
        </w:rPr>
        <w:t xml:space="preserve">rovisória </w:t>
      </w:r>
    </w:p>
    <w:p w14:paraId="2867463B" w14:textId="0BEAD5B2" w:rsidR="000D663E" w:rsidRDefault="000D663E" w:rsidP="000D663E">
      <w:pPr>
        <w:pStyle w:val="TextosemFormatao"/>
        <w:spacing w:line="360" w:lineRule="auto"/>
        <w:ind w:firstLine="708"/>
      </w:pPr>
      <w:r w:rsidRPr="005D6385">
        <w:t xml:space="preserve">A presente medida provisória (MP) </w:t>
      </w:r>
      <w:r w:rsidR="00C93954" w:rsidRPr="005D6385">
        <w:t>objetiva, em síntese, prorrogar até 3.478 contratos, por prazo determinado, firmados entre o Ministério da Saúde e profissionais da saúde para atendimento de excepcional necessidade dos Hospitais Federais e Institutos Nacionais no Estado do Rio de Janeiro, conforme autorizados pela Portaria nº 11.259, de 05 de maio de 2020, e a Lei nº 8.745, de 09 de dezembro de 1993.</w:t>
      </w:r>
    </w:p>
    <w:p w14:paraId="65DF4005" w14:textId="2B78B5D9" w:rsidR="005D6385" w:rsidRDefault="00594E85" w:rsidP="005D6385">
      <w:pPr>
        <w:pStyle w:val="TextosemFormatao"/>
        <w:spacing w:line="360" w:lineRule="auto"/>
        <w:ind w:firstLine="708"/>
      </w:pPr>
      <w:r w:rsidRPr="005D6385">
        <w:t xml:space="preserve">A exposição de motivos interministerial que acompanha a Medida Provisória, </w:t>
      </w:r>
      <w:r w:rsidR="005D6385" w:rsidRPr="005D6385">
        <w:t>EMI nº 00059/2022 MS ME</w:t>
      </w:r>
      <w:r w:rsidRPr="005D6385">
        <w:t xml:space="preserve">, ressalta </w:t>
      </w:r>
      <w:r w:rsidR="005D6385" w:rsidRPr="005D6385">
        <w:t>que a necessidade de se adotar instrumento normativo de eficácia imediata, prorrogando-se os contratos, decorre do fato de os instrumentos firmados com base na autorização concedida pela Portaria nº 11.259, de 2020, encerrarem sua vigência em 1º de dezembro próximo, por terem alcançado o limite legal de 2 (dois) anos previsto no inciso VI do parágrafo único do art. 4º da Lei nº 8.745, de 1993.</w:t>
      </w:r>
      <w:r w:rsidR="005D6385">
        <w:t xml:space="preserve"> Ressalta ainda a  EMI que</w:t>
      </w:r>
      <w:r w:rsidR="005D6385" w:rsidRPr="005D6385">
        <w:t xml:space="preserve">, a despeito dos esforços do Ministério da Saúde e da autorização concedida pelo Ministério da Economia, não haverá tempo </w:t>
      </w:r>
      <w:r w:rsidR="005D6385" w:rsidRPr="005D6385">
        <w:lastRenderedPageBreak/>
        <w:t>hábil para que as novas contratações supram de forma efetiva e segura o concomitante desligamento dos profissionais hoje em exercício, incorrendo em indesejável solução de continuidade até que advenha a reposição de pessoal.</w:t>
      </w:r>
    </w:p>
    <w:p w14:paraId="50E50D9D" w14:textId="6D871BD2" w:rsidR="005D6385" w:rsidRDefault="005D6385" w:rsidP="005D6385">
      <w:pPr>
        <w:pStyle w:val="TextosemFormatao"/>
        <w:spacing w:line="360" w:lineRule="auto"/>
        <w:ind w:firstLine="708"/>
      </w:pPr>
      <w:r>
        <w:t>A citada EMI estatui ainda que</w:t>
      </w:r>
      <w:r w:rsidRPr="005D6385">
        <w:t xml:space="preserve"> o empenho integral dos valores no corrente exercício para cobrir despesa já prevista em orçamento afasta impeditivos dos artigos 20 e 42 da Lei Complementar n. 101, de 04 de maio de 2000. Ainda com relação ao aspecto orçamentário-financeiro, no exercício 2022, para o mês de dezembro, estima-se uma despesa de R$ 23.124.165, e para o período de janeiro a novembro de 2023, estima-se uma despesa no total de R$ 255.330.480,00, ambas abrangendo salários e encargos patronais. Os valores previstos para 2022, no Relatório de Avaliação de Receitas e Despesas Primárias, referente ao 5º Bimestre de 2022, e para 2023, no PLN nº 32/2022, PLOA – 2023, são suficientes para implementação da medida. Assim, observa-se que a prorrogação dos contratos temporários não se enquadra no disposto no art. 21 da Lei Complementar nº 101, de 2000, visto que não acarreta aumento de despesa.</w:t>
      </w:r>
    </w:p>
    <w:p w14:paraId="56C34FD9" w14:textId="77777777" w:rsidR="005D6385" w:rsidRDefault="005D6385" w:rsidP="005D6385">
      <w:pPr>
        <w:pStyle w:val="TextosemFormatao"/>
        <w:spacing w:line="360" w:lineRule="auto"/>
        <w:ind w:firstLine="708"/>
      </w:pPr>
    </w:p>
    <w:p w14:paraId="6763292B" w14:textId="40A7E5F2" w:rsidR="00427363" w:rsidRPr="00171ABC" w:rsidRDefault="00427363" w:rsidP="005D6385">
      <w:pPr>
        <w:pStyle w:val="TextosemFormatao"/>
        <w:spacing w:line="360" w:lineRule="auto"/>
        <w:ind w:firstLine="708"/>
        <w:rPr>
          <w:rFonts w:cs="Arial"/>
          <w:b/>
          <w:bCs/>
          <w:szCs w:val="19"/>
        </w:rPr>
      </w:pPr>
      <w:r w:rsidRPr="00171ABC">
        <w:rPr>
          <w:rFonts w:cs="Arial"/>
          <w:b/>
          <w:bCs/>
          <w:szCs w:val="19"/>
        </w:rPr>
        <w:t>3</w:t>
      </w:r>
      <w:r w:rsidRPr="00171ABC">
        <w:rPr>
          <w:rFonts w:cs="Arial"/>
          <w:b/>
          <w:bCs/>
          <w:szCs w:val="19"/>
        </w:rPr>
        <w:tab/>
      </w:r>
      <w:r w:rsidR="00584816">
        <w:rPr>
          <w:rFonts w:cs="Arial"/>
          <w:b/>
          <w:bCs/>
          <w:szCs w:val="19"/>
        </w:rPr>
        <w:t xml:space="preserve">Subsídios acerca da adequação </w:t>
      </w:r>
      <w:r w:rsidR="00AB3679">
        <w:rPr>
          <w:rFonts w:cs="Arial"/>
          <w:b/>
          <w:bCs/>
          <w:szCs w:val="19"/>
        </w:rPr>
        <w:t>orçamentária e financeira</w:t>
      </w:r>
    </w:p>
    <w:p w14:paraId="485465AD" w14:textId="6A945EDE" w:rsidR="00D00F23" w:rsidRDefault="00D00F23" w:rsidP="006B3FE3">
      <w:pPr>
        <w:pStyle w:val="Recuodecorpodetexto2"/>
        <w:spacing w:after="120" w:line="360" w:lineRule="auto"/>
        <w:ind w:firstLine="708"/>
        <w:rPr>
          <w:rFonts w:ascii="Arial" w:hAnsi="Arial" w:cs="Arial"/>
          <w:b w:val="0"/>
          <w:color w:val="auto"/>
        </w:rPr>
      </w:pPr>
      <w:r w:rsidRPr="00D00F23">
        <w:rPr>
          <w:rFonts w:ascii="Arial" w:hAnsi="Arial" w:cs="Arial"/>
          <w:b w:val="0"/>
          <w:color w:val="auto"/>
        </w:rPr>
        <w:t>Conforme mencionado na introdução desta nota técnica, o exame de compatibilidade e adequação orçamentária e financeira deve verificar a repercussão sobre a receita ou a despesa pública da União e o atendimento das normas orçamentárias e financeiras vigentes, em especial da Lei Complementar nº 101, de 2000, da lei do plano plurianual, da lei de diretrizes orçamentárias e da lei orçamentária da União.</w:t>
      </w:r>
    </w:p>
    <w:p w14:paraId="028A0543" w14:textId="3668107D" w:rsidR="00B51776" w:rsidRPr="006B3FE3" w:rsidRDefault="00CC5D0B" w:rsidP="00B51776">
      <w:pPr>
        <w:pStyle w:val="Recuodecorpodetexto2"/>
        <w:spacing w:after="120" w:line="360" w:lineRule="auto"/>
        <w:ind w:firstLine="708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Verifica-se</w:t>
      </w:r>
      <w:r w:rsidR="003223C5">
        <w:rPr>
          <w:rFonts w:ascii="Arial" w:hAnsi="Arial" w:cs="Arial"/>
          <w:b w:val="0"/>
          <w:color w:val="auto"/>
          <w:szCs w:val="24"/>
        </w:rPr>
        <w:t xml:space="preserve"> que o escopo da presente análise se limita</w:t>
      </w:r>
      <w:r w:rsidR="003223C5" w:rsidRPr="006B3FE3">
        <w:rPr>
          <w:rFonts w:ascii="Arial" w:hAnsi="Arial" w:cs="Arial"/>
          <w:b w:val="0"/>
          <w:color w:val="auto"/>
          <w:szCs w:val="24"/>
        </w:rPr>
        <w:t xml:space="preserve"> única e exclusivamente </w:t>
      </w:r>
      <w:r w:rsidR="003223C5">
        <w:rPr>
          <w:rFonts w:ascii="Arial" w:hAnsi="Arial" w:cs="Arial"/>
          <w:b w:val="0"/>
          <w:color w:val="auto"/>
          <w:szCs w:val="24"/>
        </w:rPr>
        <w:t xml:space="preserve">a </w:t>
      </w:r>
      <w:r w:rsidR="003223C5" w:rsidRPr="006B3FE3">
        <w:rPr>
          <w:rFonts w:ascii="Arial" w:hAnsi="Arial" w:cs="Arial"/>
          <w:b w:val="0"/>
          <w:color w:val="auto"/>
          <w:szCs w:val="24"/>
        </w:rPr>
        <w:t>afer</w:t>
      </w:r>
      <w:r w:rsidR="003223C5">
        <w:rPr>
          <w:rFonts w:ascii="Arial" w:hAnsi="Arial" w:cs="Arial"/>
          <w:b w:val="0"/>
          <w:color w:val="auto"/>
          <w:szCs w:val="24"/>
        </w:rPr>
        <w:t>ir a conformação dos termos da medida p</w:t>
      </w:r>
      <w:r w:rsidR="003223C5" w:rsidRPr="006B3FE3">
        <w:rPr>
          <w:rFonts w:ascii="Arial" w:hAnsi="Arial" w:cs="Arial"/>
          <w:b w:val="0"/>
          <w:color w:val="auto"/>
          <w:szCs w:val="24"/>
        </w:rPr>
        <w:t>rovisória às disposições constitucionais e legais que tratam das matérias orçamentário-financeiras</w:t>
      </w:r>
      <w:r w:rsidR="003223C5">
        <w:rPr>
          <w:rFonts w:ascii="Arial" w:hAnsi="Arial" w:cs="Arial"/>
          <w:b w:val="0"/>
          <w:color w:val="auto"/>
          <w:szCs w:val="24"/>
        </w:rPr>
        <w:t>.</w:t>
      </w:r>
      <w:r w:rsidR="00FD1284">
        <w:rPr>
          <w:rFonts w:ascii="Arial" w:hAnsi="Arial" w:cs="Arial"/>
          <w:b w:val="0"/>
          <w:color w:val="auto"/>
          <w:szCs w:val="24"/>
        </w:rPr>
        <w:t xml:space="preserve"> </w:t>
      </w:r>
      <w:r w:rsidR="003223C5">
        <w:rPr>
          <w:rFonts w:ascii="Arial" w:hAnsi="Arial" w:cs="Arial"/>
          <w:b w:val="0"/>
          <w:color w:val="auto"/>
          <w:szCs w:val="24"/>
        </w:rPr>
        <w:t>Por essa razão</w:t>
      </w:r>
      <w:r w:rsidR="00FD1284">
        <w:rPr>
          <w:rFonts w:ascii="Arial" w:hAnsi="Arial" w:cs="Arial"/>
          <w:b w:val="0"/>
          <w:color w:val="auto"/>
          <w:szCs w:val="24"/>
        </w:rPr>
        <w:t xml:space="preserve">, via de regra, </w:t>
      </w:r>
      <w:r w:rsidR="003223C5">
        <w:rPr>
          <w:rFonts w:ascii="Arial" w:hAnsi="Arial" w:cs="Arial"/>
          <w:b w:val="0"/>
          <w:color w:val="auto"/>
          <w:szCs w:val="24"/>
        </w:rPr>
        <w:t>à</w:t>
      </w:r>
      <w:r w:rsidR="00FD1284">
        <w:rPr>
          <w:rFonts w:ascii="Arial" w:hAnsi="Arial" w:cs="Arial"/>
          <w:b w:val="0"/>
          <w:color w:val="auto"/>
          <w:szCs w:val="24"/>
        </w:rPr>
        <w:t xml:space="preserve"> nota </w:t>
      </w:r>
      <w:r w:rsidR="003223C5">
        <w:rPr>
          <w:rFonts w:ascii="Arial" w:hAnsi="Arial" w:cs="Arial"/>
          <w:b w:val="0"/>
          <w:color w:val="auto"/>
          <w:szCs w:val="24"/>
        </w:rPr>
        <w:t xml:space="preserve">técnica </w:t>
      </w:r>
      <w:r w:rsidR="00FD1284">
        <w:rPr>
          <w:rFonts w:ascii="Arial" w:hAnsi="Arial" w:cs="Arial"/>
          <w:b w:val="0"/>
          <w:color w:val="auto"/>
          <w:szCs w:val="24"/>
        </w:rPr>
        <w:t xml:space="preserve">de adequação orçamentária e financeira não </w:t>
      </w:r>
      <w:r w:rsidR="003223C5">
        <w:rPr>
          <w:rFonts w:ascii="Arial" w:hAnsi="Arial" w:cs="Arial"/>
          <w:b w:val="0"/>
          <w:color w:val="auto"/>
          <w:szCs w:val="24"/>
        </w:rPr>
        <w:t>cabe</w:t>
      </w:r>
      <w:r w:rsidR="00FD1284">
        <w:rPr>
          <w:rFonts w:ascii="Arial" w:hAnsi="Arial" w:cs="Arial"/>
          <w:b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color w:val="auto"/>
          <w:szCs w:val="24"/>
        </w:rPr>
        <w:t>avaliar</w:t>
      </w:r>
      <w:r w:rsidR="00FD1284">
        <w:rPr>
          <w:rFonts w:ascii="Arial" w:hAnsi="Arial" w:cs="Arial"/>
          <w:b w:val="0"/>
          <w:color w:val="auto"/>
          <w:szCs w:val="24"/>
        </w:rPr>
        <w:t xml:space="preserve"> </w:t>
      </w:r>
      <w:r w:rsidR="003223C5">
        <w:rPr>
          <w:rFonts w:ascii="Arial" w:hAnsi="Arial" w:cs="Arial"/>
          <w:b w:val="0"/>
          <w:color w:val="auto"/>
          <w:szCs w:val="24"/>
        </w:rPr>
        <w:t xml:space="preserve">a </w:t>
      </w:r>
      <w:r w:rsidR="00C2683D">
        <w:rPr>
          <w:rFonts w:ascii="Arial" w:hAnsi="Arial" w:cs="Arial"/>
          <w:b w:val="0"/>
          <w:color w:val="auto"/>
          <w:szCs w:val="24"/>
        </w:rPr>
        <w:lastRenderedPageBreak/>
        <w:t>pertinência</w:t>
      </w:r>
      <w:r w:rsidR="003223C5">
        <w:rPr>
          <w:rFonts w:ascii="Arial" w:hAnsi="Arial" w:cs="Arial"/>
          <w:b w:val="0"/>
          <w:color w:val="auto"/>
          <w:szCs w:val="24"/>
        </w:rPr>
        <w:t xml:space="preserve"> d</w:t>
      </w:r>
      <w:r w:rsidR="00FD1284">
        <w:rPr>
          <w:rFonts w:ascii="Arial" w:hAnsi="Arial" w:cs="Arial"/>
          <w:b w:val="0"/>
          <w:color w:val="auto"/>
          <w:szCs w:val="24"/>
        </w:rPr>
        <w:t xml:space="preserve">os pressupostos constitucionais para edição de medidas provisórias, as quais somente são cabíveis para atender situações urgentes e relevantes que não possam ser prontamente atendidas pela via legislativa ordinária, conforme determina o art. 62 da Constituição. </w:t>
      </w:r>
    </w:p>
    <w:p w14:paraId="3A66E662" w14:textId="194AB24B" w:rsidR="00D56C54" w:rsidRDefault="00D56C54" w:rsidP="006B3FE3">
      <w:pPr>
        <w:pStyle w:val="Recuodecorpodetexto2"/>
        <w:spacing w:after="120" w:line="360" w:lineRule="auto"/>
        <w:ind w:firstLine="708"/>
        <w:rPr>
          <w:rFonts w:ascii="Arial" w:hAnsi="Arial" w:cs="Arial"/>
          <w:b w:val="0"/>
          <w:color w:val="auto"/>
        </w:rPr>
      </w:pPr>
      <w:r w:rsidRPr="005D6385">
        <w:rPr>
          <w:rFonts w:ascii="Arial" w:hAnsi="Arial" w:cs="Arial"/>
          <w:b w:val="0"/>
          <w:color w:val="auto"/>
        </w:rPr>
        <w:t>No que se refere à MPV em questão, não há impacto a ser demostrado.</w:t>
      </w:r>
    </w:p>
    <w:p w14:paraId="1BA0263B" w14:textId="734347B7" w:rsidR="00D00F23" w:rsidRPr="00604893" w:rsidRDefault="00D00F23" w:rsidP="006B3FE3">
      <w:pPr>
        <w:pStyle w:val="Recuodecorpodetexto2"/>
        <w:spacing w:before="120"/>
        <w:ind w:firstLine="708"/>
        <w:rPr>
          <w:rFonts w:ascii="Arial" w:hAnsi="Arial" w:cs="Arial"/>
          <w:b w:val="0"/>
          <w:color w:val="FF0000"/>
          <w:szCs w:val="24"/>
        </w:rPr>
      </w:pPr>
    </w:p>
    <w:p w14:paraId="69E761C0" w14:textId="77777777" w:rsidR="00594E85" w:rsidRPr="00171ABC" w:rsidRDefault="00D00F23" w:rsidP="00594E85">
      <w:pPr>
        <w:pStyle w:val="TextosemFormatao"/>
        <w:spacing w:before="240" w:after="240"/>
        <w:ind w:firstLine="0"/>
        <w:rPr>
          <w:rFonts w:cs="Arial"/>
          <w:b/>
          <w:bCs/>
          <w:szCs w:val="19"/>
        </w:rPr>
      </w:pPr>
      <w:r>
        <w:rPr>
          <w:rFonts w:cs="Arial"/>
          <w:b/>
          <w:bCs/>
          <w:szCs w:val="19"/>
        </w:rPr>
        <w:t>4</w:t>
      </w:r>
      <w:r w:rsidR="00594E85" w:rsidRPr="00171ABC">
        <w:rPr>
          <w:rFonts w:cs="Arial"/>
          <w:b/>
          <w:bCs/>
          <w:szCs w:val="19"/>
        </w:rPr>
        <w:tab/>
      </w:r>
      <w:r w:rsidR="00594E85">
        <w:rPr>
          <w:rFonts w:cs="Arial"/>
          <w:b/>
          <w:bCs/>
          <w:szCs w:val="19"/>
        </w:rPr>
        <w:t xml:space="preserve">Considerações Finais </w:t>
      </w:r>
    </w:p>
    <w:p w14:paraId="00692FEB" w14:textId="2FE95166" w:rsidR="00107B70" w:rsidRDefault="00107B70" w:rsidP="00107B70">
      <w:pPr>
        <w:pStyle w:val="TextosemFormatao"/>
        <w:spacing w:line="360" w:lineRule="auto"/>
      </w:pPr>
      <w:r>
        <w:t xml:space="preserve">São esses os subsídios que consideramos mais relevantes para a apreciação da medida provisória </w:t>
      </w:r>
      <w:r w:rsidR="005D6385" w:rsidRPr="00C93954">
        <w:rPr>
          <w:rFonts w:cs="Arial"/>
          <w:szCs w:val="24"/>
        </w:rPr>
        <w:t>nº 1.142, de 29 de novembro de 2022</w:t>
      </w:r>
      <w:r>
        <w:t>, quanto à adequação orçamentária e financeira.</w:t>
      </w:r>
    </w:p>
    <w:p w14:paraId="329BAFF3" w14:textId="77777777" w:rsidR="00107B70" w:rsidRDefault="00107B70" w:rsidP="00F01AE3">
      <w:pPr>
        <w:rPr>
          <w:rFonts w:ascii="Arial" w:hAnsi="Arial" w:cs="Arial"/>
          <w:iCs/>
          <w:sz w:val="24"/>
          <w:szCs w:val="24"/>
        </w:rPr>
      </w:pPr>
    </w:p>
    <w:p w14:paraId="088456D3" w14:textId="25A66E49" w:rsidR="00427363" w:rsidRPr="005D6385" w:rsidRDefault="005D6385" w:rsidP="00F01AE3">
      <w:pPr>
        <w:jc w:val="center"/>
        <w:rPr>
          <w:rFonts w:ascii="Arial" w:hAnsi="Arial" w:cs="Arial"/>
          <w:sz w:val="24"/>
          <w:szCs w:val="24"/>
        </w:rPr>
      </w:pPr>
      <w:r w:rsidRPr="005D6385">
        <w:rPr>
          <w:rFonts w:ascii="Arial" w:hAnsi="Arial" w:cs="Arial"/>
          <w:sz w:val="24"/>
          <w:szCs w:val="24"/>
        </w:rPr>
        <w:t>Róbison Gonçalves de Castro</w:t>
      </w:r>
      <w:r w:rsidR="00427363" w:rsidRPr="005D6385">
        <w:rPr>
          <w:rFonts w:ascii="Arial" w:hAnsi="Arial" w:cs="Arial"/>
          <w:sz w:val="24"/>
          <w:szCs w:val="24"/>
        </w:rPr>
        <w:t xml:space="preserve"> </w:t>
      </w:r>
    </w:p>
    <w:p w14:paraId="1DA89D8C" w14:textId="77777777" w:rsidR="00427363" w:rsidRPr="005D6385" w:rsidRDefault="00427363" w:rsidP="00F01AE3">
      <w:pPr>
        <w:jc w:val="center"/>
        <w:rPr>
          <w:rFonts w:ascii="Arial" w:hAnsi="Arial" w:cs="Arial"/>
          <w:sz w:val="24"/>
          <w:szCs w:val="24"/>
        </w:rPr>
      </w:pPr>
      <w:r w:rsidRPr="005D6385">
        <w:rPr>
          <w:rFonts w:ascii="Arial" w:hAnsi="Arial" w:cs="Arial"/>
          <w:sz w:val="24"/>
          <w:szCs w:val="24"/>
        </w:rPr>
        <w:t>Consultor Legislativo – Assessoramento em Orçamentos</w:t>
      </w:r>
    </w:p>
    <w:p w14:paraId="044A1CBE" w14:textId="77777777" w:rsidR="00427363" w:rsidRPr="00171ABC" w:rsidRDefault="00427363" w:rsidP="000A546F">
      <w:pPr>
        <w:rPr>
          <w:rFonts w:ascii="Arial" w:hAnsi="Arial" w:cs="Arial"/>
          <w:sz w:val="24"/>
          <w:szCs w:val="24"/>
        </w:rPr>
      </w:pPr>
    </w:p>
    <w:sectPr w:rsidR="00427363" w:rsidRPr="00171ABC" w:rsidSect="005726DC">
      <w:headerReference w:type="default" r:id="rId8"/>
      <w:footerReference w:type="even" r:id="rId9"/>
      <w:footerReference w:type="default" r:id="rId10"/>
      <w:pgSz w:w="11906" w:h="16838" w:code="9"/>
      <w:pgMar w:top="340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7E7AC" w14:textId="77777777" w:rsidR="00471468" w:rsidRDefault="00471468" w:rsidP="00706665">
      <w:r>
        <w:separator/>
      </w:r>
    </w:p>
  </w:endnote>
  <w:endnote w:type="continuationSeparator" w:id="0">
    <w:p w14:paraId="250AEC48" w14:textId="77777777" w:rsidR="00471468" w:rsidRDefault="00471468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86EB" w14:textId="77777777" w:rsidR="005726DC" w:rsidRDefault="005726DC" w:rsidP="00E43F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97A8BC" w14:textId="77777777" w:rsidR="005726DC" w:rsidRDefault="005726DC" w:rsidP="00D60AD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A8092" w14:textId="77777777" w:rsidR="005726DC" w:rsidRDefault="005726DC" w:rsidP="00D60AD0">
    <w:pPr>
      <w:pStyle w:val="Rodap"/>
      <w:ind w:right="360"/>
      <w:jc w:val="both"/>
      <w:rPr>
        <w:rFonts w:ascii="ITC Stone Sans Std Medium" w:hAnsi="ITC Stone Sans Std Medium"/>
        <w:sz w:val="14"/>
        <w:szCs w:val="14"/>
      </w:rPr>
    </w:pPr>
  </w:p>
  <w:p w14:paraId="125366FA" w14:textId="715BC00F" w:rsidR="005726DC" w:rsidRDefault="00F817C0" w:rsidP="00196BF2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F8D69B7" wp14:editId="75BD11AB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1905" b="889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23F57" w14:textId="77777777" w:rsidR="005726DC" w:rsidRPr="00196BF2" w:rsidRDefault="005726DC" w:rsidP="00196BF2">
    <w:pPr>
      <w:pStyle w:val="Rodap"/>
      <w:jc w:val="center"/>
      <w:rPr>
        <w:rFonts w:ascii="Times New Roman" w:hAnsi="Times New Roman"/>
        <w:sz w:val="14"/>
        <w:szCs w:val="14"/>
      </w:rPr>
    </w:pPr>
  </w:p>
  <w:p w14:paraId="7F64C11F" w14:textId="77777777" w:rsidR="005726DC" w:rsidRDefault="005726DC" w:rsidP="00196BF2">
    <w:pPr>
      <w:pStyle w:val="Rodap"/>
      <w:jc w:val="center"/>
      <w:rPr>
        <w:rFonts w:ascii="Times New Roman" w:hAnsi="Times New Roman"/>
        <w:sz w:val="16"/>
        <w:szCs w:val="16"/>
      </w:rPr>
    </w:pPr>
    <w:r w:rsidRPr="00A80C4B">
      <w:rPr>
        <w:rFonts w:ascii="Times New Roman" w:hAnsi="Times New Roman"/>
        <w:sz w:val="16"/>
        <w:szCs w:val="16"/>
      </w:rPr>
      <w:t xml:space="preserve">Senado Federal </w:t>
    </w:r>
    <w:r>
      <w:rPr>
        <w:rFonts w:ascii="Times New Roman" w:hAnsi="Times New Roman"/>
        <w:sz w:val="16"/>
        <w:szCs w:val="16"/>
      </w:rPr>
      <w:t>–</w:t>
    </w:r>
    <w:r w:rsidRPr="00A80C4B">
      <w:rPr>
        <w:rFonts w:ascii="Times New Roman" w:hAnsi="Times New Roman"/>
        <w:sz w:val="16"/>
        <w:szCs w:val="16"/>
      </w:rPr>
      <w:t xml:space="preserve"> Praça dos Três Poderes </w:t>
    </w:r>
    <w:r>
      <w:rPr>
        <w:rFonts w:ascii="Times New Roman" w:hAnsi="Times New Roman"/>
        <w:sz w:val="16"/>
        <w:szCs w:val="16"/>
      </w:rPr>
      <w:t xml:space="preserve">– </w:t>
    </w:r>
    <w:r w:rsidRPr="00A80C4B">
      <w:rPr>
        <w:rFonts w:ascii="Times New Roman" w:hAnsi="Times New Roman"/>
        <w:sz w:val="16"/>
        <w:szCs w:val="16"/>
      </w:rPr>
      <w:t xml:space="preserve">CEP 70165-900 </w:t>
    </w:r>
    <w:r>
      <w:rPr>
        <w:rFonts w:ascii="Times New Roman" w:hAnsi="Times New Roman"/>
        <w:sz w:val="16"/>
        <w:szCs w:val="16"/>
      </w:rPr>
      <w:t>–</w:t>
    </w:r>
    <w:r w:rsidRPr="00A80C4B">
      <w:rPr>
        <w:rFonts w:ascii="Times New Roman" w:hAnsi="Times New Roman"/>
        <w:sz w:val="16"/>
        <w:szCs w:val="16"/>
      </w:rPr>
      <w:t xml:space="preserve"> Brasília DF </w:t>
    </w:r>
  </w:p>
  <w:p w14:paraId="5751BE44" w14:textId="77777777" w:rsidR="005726DC" w:rsidRDefault="005726DC" w:rsidP="00D60AD0">
    <w:pPr>
      <w:pStyle w:val="Rodap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Telefone: +55 </w:t>
    </w:r>
    <w:r w:rsidRPr="00A80C4B">
      <w:rPr>
        <w:rFonts w:ascii="Times New Roman" w:hAnsi="Times New Roman"/>
        <w:sz w:val="16"/>
        <w:szCs w:val="16"/>
      </w:rPr>
      <w:t>(61)</w:t>
    </w:r>
    <w:r>
      <w:rPr>
        <w:rFonts w:ascii="Times New Roman" w:hAnsi="Times New Roman"/>
        <w:sz w:val="16"/>
        <w:szCs w:val="16"/>
      </w:rPr>
      <w:t xml:space="preserve"> 3303-3318 – conorf@senado.gov.br</w:t>
    </w:r>
  </w:p>
  <w:p w14:paraId="75FD2837" w14:textId="77777777" w:rsidR="005726DC" w:rsidRPr="00457D2B" w:rsidRDefault="005726DC" w:rsidP="00D60AD0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 w:rsidRPr="00D60AD0">
      <w:rPr>
        <w:rFonts w:ascii="Times New Roman" w:hAnsi="Times New Roman"/>
        <w:sz w:val="16"/>
        <w:szCs w:val="16"/>
      </w:rPr>
      <w:fldChar w:fldCharType="begin"/>
    </w:r>
    <w:r w:rsidRPr="00D60AD0">
      <w:rPr>
        <w:rFonts w:ascii="Times New Roman" w:hAnsi="Times New Roman"/>
        <w:sz w:val="16"/>
        <w:szCs w:val="16"/>
      </w:rPr>
      <w:instrText xml:space="preserve"> PAGE </w:instrText>
    </w:r>
    <w:r w:rsidRPr="00D60AD0">
      <w:rPr>
        <w:rFonts w:ascii="Times New Roman" w:hAnsi="Times New Roman"/>
        <w:sz w:val="16"/>
        <w:szCs w:val="16"/>
      </w:rPr>
      <w:fldChar w:fldCharType="separate"/>
    </w:r>
    <w:r w:rsidR="009119FA">
      <w:rPr>
        <w:rFonts w:ascii="Times New Roman" w:hAnsi="Times New Roman"/>
        <w:noProof/>
        <w:sz w:val="16"/>
        <w:szCs w:val="16"/>
      </w:rPr>
      <w:t>1</w:t>
    </w:r>
    <w:r w:rsidRPr="00D60AD0">
      <w:rPr>
        <w:rFonts w:ascii="Times New Roman" w:hAnsi="Times New Roman"/>
        <w:sz w:val="16"/>
        <w:szCs w:val="16"/>
      </w:rPr>
      <w:fldChar w:fldCharType="end"/>
    </w:r>
    <w:r w:rsidRPr="00D60AD0">
      <w:rPr>
        <w:rFonts w:ascii="Times New Roman" w:hAnsi="Times New Roman"/>
        <w:sz w:val="16"/>
        <w:szCs w:val="16"/>
      </w:rPr>
      <w:t xml:space="preserve"> de </w:t>
    </w:r>
    <w:r w:rsidRPr="00D60AD0">
      <w:rPr>
        <w:rFonts w:ascii="Times New Roman" w:hAnsi="Times New Roman"/>
        <w:sz w:val="16"/>
        <w:szCs w:val="16"/>
      </w:rPr>
      <w:fldChar w:fldCharType="begin"/>
    </w:r>
    <w:r w:rsidRPr="00D60AD0">
      <w:rPr>
        <w:rFonts w:ascii="Times New Roman" w:hAnsi="Times New Roman"/>
        <w:sz w:val="16"/>
        <w:szCs w:val="16"/>
      </w:rPr>
      <w:instrText xml:space="preserve"> NUMPAGES </w:instrText>
    </w:r>
    <w:r w:rsidRPr="00D60AD0">
      <w:rPr>
        <w:rFonts w:ascii="Times New Roman" w:hAnsi="Times New Roman"/>
        <w:sz w:val="16"/>
        <w:szCs w:val="16"/>
      </w:rPr>
      <w:fldChar w:fldCharType="separate"/>
    </w:r>
    <w:r w:rsidR="009119FA">
      <w:rPr>
        <w:rFonts w:ascii="Times New Roman" w:hAnsi="Times New Roman"/>
        <w:noProof/>
        <w:sz w:val="16"/>
        <w:szCs w:val="16"/>
      </w:rPr>
      <w:t>4</w:t>
    </w:r>
    <w:r w:rsidRPr="00D60AD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8D2CA" w14:textId="77777777" w:rsidR="00471468" w:rsidRDefault="00471468" w:rsidP="00706665">
      <w:r>
        <w:separator/>
      </w:r>
    </w:p>
  </w:footnote>
  <w:footnote w:type="continuationSeparator" w:id="0">
    <w:p w14:paraId="72C7867E" w14:textId="77777777" w:rsidR="00471468" w:rsidRDefault="00471468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2F0D1" w14:textId="24AD27EE" w:rsidR="005726DC" w:rsidRDefault="00F817C0" w:rsidP="00457D2B">
    <w:pPr>
      <w:pStyle w:val="Cabealho"/>
      <w:spacing w:after="120"/>
      <w:jc w:val="center"/>
    </w:pPr>
    <w:r w:rsidRPr="003250E4">
      <w:rPr>
        <w:noProof/>
        <w:lang w:eastAsia="pt-BR"/>
      </w:rPr>
      <w:drawing>
        <wp:inline distT="0" distB="0" distL="0" distR="0" wp14:anchorId="11D4E622" wp14:editId="3562A6FE">
          <wp:extent cx="1212215" cy="925195"/>
          <wp:effectExtent l="0" t="0" r="6985" b="8255"/>
          <wp:docPr id="1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D333B" w14:textId="77777777" w:rsidR="005726DC" w:rsidRDefault="005726DC" w:rsidP="00DD4440">
    <w:pPr>
      <w:pStyle w:val="Cabealho"/>
      <w:jc w:val="center"/>
    </w:pPr>
    <w:r w:rsidRPr="00FC02D1">
      <w:rPr>
        <w:rFonts w:ascii="Times New Roman" w:hAnsi="Times New Roman"/>
      </w:rPr>
      <w:t>Consultoria de Orçamentos, Fiscalização e Controle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7E6"/>
    <w:multiLevelType w:val="hybridMultilevel"/>
    <w:tmpl w:val="EFF4EDB6"/>
    <w:lvl w:ilvl="0" w:tplc="0416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5"/>
    <w:rsid w:val="000061CA"/>
    <w:rsid w:val="000130A1"/>
    <w:rsid w:val="00015EB9"/>
    <w:rsid w:val="000177E9"/>
    <w:rsid w:val="00020228"/>
    <w:rsid w:val="0004570B"/>
    <w:rsid w:val="000475E8"/>
    <w:rsid w:val="000518A5"/>
    <w:rsid w:val="00057930"/>
    <w:rsid w:val="000667BE"/>
    <w:rsid w:val="0009129A"/>
    <w:rsid w:val="000A546F"/>
    <w:rsid w:val="000D663E"/>
    <w:rsid w:val="0010354E"/>
    <w:rsid w:val="00107B70"/>
    <w:rsid w:val="001119ED"/>
    <w:rsid w:val="00112131"/>
    <w:rsid w:val="001176B3"/>
    <w:rsid w:val="00143A02"/>
    <w:rsid w:val="0016681F"/>
    <w:rsid w:val="00171ABC"/>
    <w:rsid w:val="00174725"/>
    <w:rsid w:val="00187F26"/>
    <w:rsid w:val="00196BF2"/>
    <w:rsid w:val="001B50FF"/>
    <w:rsid w:val="001C33AD"/>
    <w:rsid w:val="001C4040"/>
    <w:rsid w:val="001C69EE"/>
    <w:rsid w:val="001D6EF9"/>
    <w:rsid w:val="001E3A7A"/>
    <w:rsid w:val="00206788"/>
    <w:rsid w:val="002229FF"/>
    <w:rsid w:val="00227DE4"/>
    <w:rsid w:val="0023416F"/>
    <w:rsid w:val="0024010A"/>
    <w:rsid w:val="00240C48"/>
    <w:rsid w:val="0025753F"/>
    <w:rsid w:val="002639BF"/>
    <w:rsid w:val="002802C7"/>
    <w:rsid w:val="00292FE2"/>
    <w:rsid w:val="002930C7"/>
    <w:rsid w:val="00294EFF"/>
    <w:rsid w:val="002A756C"/>
    <w:rsid w:val="002C4A8E"/>
    <w:rsid w:val="002E4E4A"/>
    <w:rsid w:val="002E728F"/>
    <w:rsid w:val="002F3E9A"/>
    <w:rsid w:val="0032036B"/>
    <w:rsid w:val="003223C5"/>
    <w:rsid w:val="003250E4"/>
    <w:rsid w:val="003306EB"/>
    <w:rsid w:val="003325D3"/>
    <w:rsid w:val="00353700"/>
    <w:rsid w:val="00353F69"/>
    <w:rsid w:val="003A1081"/>
    <w:rsid w:val="003A6769"/>
    <w:rsid w:val="003B6280"/>
    <w:rsid w:val="003D1810"/>
    <w:rsid w:val="003D6068"/>
    <w:rsid w:val="003E499B"/>
    <w:rsid w:val="003E6C83"/>
    <w:rsid w:val="00402783"/>
    <w:rsid w:val="00423213"/>
    <w:rsid w:val="004269BA"/>
    <w:rsid w:val="00427363"/>
    <w:rsid w:val="004345ED"/>
    <w:rsid w:val="00440E9D"/>
    <w:rsid w:val="00444002"/>
    <w:rsid w:val="00452F7E"/>
    <w:rsid w:val="00457D2B"/>
    <w:rsid w:val="00471468"/>
    <w:rsid w:val="00473559"/>
    <w:rsid w:val="00474203"/>
    <w:rsid w:val="00486D28"/>
    <w:rsid w:val="004A59D7"/>
    <w:rsid w:val="004B5271"/>
    <w:rsid w:val="004D75BE"/>
    <w:rsid w:val="004E5AFF"/>
    <w:rsid w:val="004F6863"/>
    <w:rsid w:val="00511B8E"/>
    <w:rsid w:val="00513910"/>
    <w:rsid w:val="005149D0"/>
    <w:rsid w:val="00514D76"/>
    <w:rsid w:val="005210DF"/>
    <w:rsid w:val="0054473A"/>
    <w:rsid w:val="005726DC"/>
    <w:rsid w:val="00584816"/>
    <w:rsid w:val="00594E85"/>
    <w:rsid w:val="00596402"/>
    <w:rsid w:val="005B702A"/>
    <w:rsid w:val="005C1746"/>
    <w:rsid w:val="005D490F"/>
    <w:rsid w:val="005D6385"/>
    <w:rsid w:val="005E67F2"/>
    <w:rsid w:val="005F3229"/>
    <w:rsid w:val="00604893"/>
    <w:rsid w:val="00616B7B"/>
    <w:rsid w:val="00641DF1"/>
    <w:rsid w:val="006429D8"/>
    <w:rsid w:val="006476F6"/>
    <w:rsid w:val="00674D4B"/>
    <w:rsid w:val="00690256"/>
    <w:rsid w:val="006A2AD9"/>
    <w:rsid w:val="006A5EF7"/>
    <w:rsid w:val="006B3FE3"/>
    <w:rsid w:val="006C2049"/>
    <w:rsid w:val="006D14C5"/>
    <w:rsid w:val="00706665"/>
    <w:rsid w:val="00714F32"/>
    <w:rsid w:val="007250AB"/>
    <w:rsid w:val="00730178"/>
    <w:rsid w:val="007565B6"/>
    <w:rsid w:val="007809B4"/>
    <w:rsid w:val="00787813"/>
    <w:rsid w:val="007935B1"/>
    <w:rsid w:val="007961B6"/>
    <w:rsid w:val="007A0147"/>
    <w:rsid w:val="007B2F60"/>
    <w:rsid w:val="007B5A0E"/>
    <w:rsid w:val="007C7BCC"/>
    <w:rsid w:val="007D680C"/>
    <w:rsid w:val="00831FAC"/>
    <w:rsid w:val="00847D6A"/>
    <w:rsid w:val="0087655A"/>
    <w:rsid w:val="008927F8"/>
    <w:rsid w:val="008C4207"/>
    <w:rsid w:val="008C42BC"/>
    <w:rsid w:val="008D0929"/>
    <w:rsid w:val="008F021A"/>
    <w:rsid w:val="009119FA"/>
    <w:rsid w:val="0095130B"/>
    <w:rsid w:val="0095176D"/>
    <w:rsid w:val="00955D00"/>
    <w:rsid w:val="00960C0E"/>
    <w:rsid w:val="00963815"/>
    <w:rsid w:val="00965CAE"/>
    <w:rsid w:val="00974474"/>
    <w:rsid w:val="00975DEF"/>
    <w:rsid w:val="0097731C"/>
    <w:rsid w:val="009777B5"/>
    <w:rsid w:val="00980735"/>
    <w:rsid w:val="00980D45"/>
    <w:rsid w:val="00984F94"/>
    <w:rsid w:val="009A411D"/>
    <w:rsid w:val="009B6A39"/>
    <w:rsid w:val="009C2992"/>
    <w:rsid w:val="009C4BAE"/>
    <w:rsid w:val="009C7BBD"/>
    <w:rsid w:val="009E3723"/>
    <w:rsid w:val="009F303B"/>
    <w:rsid w:val="00A06CD1"/>
    <w:rsid w:val="00A12BD9"/>
    <w:rsid w:val="00A32A79"/>
    <w:rsid w:val="00A34D86"/>
    <w:rsid w:val="00A46373"/>
    <w:rsid w:val="00A755F6"/>
    <w:rsid w:val="00A75FFC"/>
    <w:rsid w:val="00A80C4B"/>
    <w:rsid w:val="00AA7C56"/>
    <w:rsid w:val="00AB3679"/>
    <w:rsid w:val="00AB4A42"/>
    <w:rsid w:val="00B02361"/>
    <w:rsid w:val="00B0376B"/>
    <w:rsid w:val="00B075FB"/>
    <w:rsid w:val="00B51776"/>
    <w:rsid w:val="00B55DDD"/>
    <w:rsid w:val="00B60E9D"/>
    <w:rsid w:val="00B630CC"/>
    <w:rsid w:val="00B63751"/>
    <w:rsid w:val="00B72B0D"/>
    <w:rsid w:val="00BA0BB9"/>
    <w:rsid w:val="00BC5DA7"/>
    <w:rsid w:val="00BD176C"/>
    <w:rsid w:val="00BD3FA4"/>
    <w:rsid w:val="00BF1490"/>
    <w:rsid w:val="00BF4CC9"/>
    <w:rsid w:val="00C21CE8"/>
    <w:rsid w:val="00C22DE7"/>
    <w:rsid w:val="00C2683D"/>
    <w:rsid w:val="00C33754"/>
    <w:rsid w:val="00C45EE6"/>
    <w:rsid w:val="00C576C0"/>
    <w:rsid w:val="00C66A21"/>
    <w:rsid w:val="00C66E43"/>
    <w:rsid w:val="00C826F2"/>
    <w:rsid w:val="00C84B4A"/>
    <w:rsid w:val="00C90ECB"/>
    <w:rsid w:val="00C93954"/>
    <w:rsid w:val="00CC5D0B"/>
    <w:rsid w:val="00CE182F"/>
    <w:rsid w:val="00CE194E"/>
    <w:rsid w:val="00D00F23"/>
    <w:rsid w:val="00D20885"/>
    <w:rsid w:val="00D322FF"/>
    <w:rsid w:val="00D35040"/>
    <w:rsid w:val="00D54C64"/>
    <w:rsid w:val="00D56C54"/>
    <w:rsid w:val="00D60AD0"/>
    <w:rsid w:val="00D62FB4"/>
    <w:rsid w:val="00DB664B"/>
    <w:rsid w:val="00DB7BD9"/>
    <w:rsid w:val="00DC5DAA"/>
    <w:rsid w:val="00DD4440"/>
    <w:rsid w:val="00DE311A"/>
    <w:rsid w:val="00DF0378"/>
    <w:rsid w:val="00DF31D6"/>
    <w:rsid w:val="00E34D5E"/>
    <w:rsid w:val="00E43F7E"/>
    <w:rsid w:val="00E64F94"/>
    <w:rsid w:val="00E72A8B"/>
    <w:rsid w:val="00E92ABA"/>
    <w:rsid w:val="00EA1862"/>
    <w:rsid w:val="00EA6B3A"/>
    <w:rsid w:val="00EB367B"/>
    <w:rsid w:val="00EC165A"/>
    <w:rsid w:val="00ED0C4F"/>
    <w:rsid w:val="00ED456C"/>
    <w:rsid w:val="00EE252A"/>
    <w:rsid w:val="00EF4A3F"/>
    <w:rsid w:val="00F01AE3"/>
    <w:rsid w:val="00F13B70"/>
    <w:rsid w:val="00F27061"/>
    <w:rsid w:val="00F42370"/>
    <w:rsid w:val="00F44622"/>
    <w:rsid w:val="00F72936"/>
    <w:rsid w:val="00F81617"/>
    <w:rsid w:val="00F817C0"/>
    <w:rsid w:val="00FA7EF9"/>
    <w:rsid w:val="00FC02D1"/>
    <w:rsid w:val="00FC34CB"/>
    <w:rsid w:val="00FD1284"/>
    <w:rsid w:val="00FD5709"/>
    <w:rsid w:val="00FE7C1A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29D4927"/>
  <w15:docId w15:val="{191C46F4-641F-49B5-A378-D669E5EA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6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locked/>
    <w:rsid w:val="00F01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locked/>
    <w:rsid w:val="003D1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3E6C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locked/>
    <w:rsid w:val="000A546F"/>
    <w:rPr>
      <w:rFonts w:ascii="Verdana" w:hAnsi="Verdana" w:cs="Times New Roman"/>
      <w:color w:val="000080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semiHidden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locked/>
    <w:rsid w:val="00706665"/>
    <w:rPr>
      <w:rFonts w:cs="Times New Roman"/>
    </w:rPr>
  </w:style>
  <w:style w:type="paragraph" w:styleId="Rodap">
    <w:name w:val="footer"/>
    <w:basedOn w:val="Normal"/>
    <w:link w:val="RodapChar"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locked/>
    <w:rsid w:val="00706665"/>
    <w:rPr>
      <w:rFonts w:cs="Times New Roman"/>
    </w:rPr>
  </w:style>
  <w:style w:type="table" w:styleId="Tabelacomgrade">
    <w:name w:val="Table Grid"/>
    <w:basedOn w:val="Tabelanormal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0A546F"/>
    <w:rPr>
      <w:rFonts w:ascii="Times New Roman" w:hAnsi="Times New Roman" w:cs="Times New Roman"/>
      <w:b/>
      <w:color w:val="000080"/>
      <w:sz w:val="20"/>
      <w:szCs w:val="20"/>
      <w:lang w:val="x-none"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spacing w:after="120"/>
      <w:jc w:val="both"/>
    </w:pPr>
  </w:style>
  <w:style w:type="paragraph" w:styleId="MapadoDocumento">
    <w:name w:val="Document Map"/>
    <w:basedOn w:val="Normal"/>
    <w:link w:val="MapadoDocumentoChar"/>
    <w:semiHidden/>
    <w:rsid w:val="00FE7C1A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locked/>
    <w:rsid w:val="003E6C83"/>
    <w:rPr>
      <w:rFonts w:ascii="Times New Roman" w:hAnsi="Times New Roman" w:cs="Times New Roman"/>
      <w:sz w:val="2"/>
    </w:rPr>
  </w:style>
  <w:style w:type="paragraph" w:styleId="TextosemFormatao">
    <w:name w:val="Plain Text"/>
    <w:basedOn w:val="Normal"/>
    <w:link w:val="TextosemFormataoChar"/>
    <w:semiHidden/>
    <w:rsid w:val="00F01AE3"/>
    <w:pPr>
      <w:spacing w:after="120"/>
      <w:ind w:firstLine="709"/>
      <w:jc w:val="both"/>
    </w:pPr>
    <w:rPr>
      <w:rFonts w:ascii="Arial" w:eastAsia="Calibri" w:hAnsi="Arial" w:cs="Courier New"/>
      <w:sz w:val="24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3E6C83"/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01A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3E6C83"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rsid w:val="00D60AD0"/>
    <w:rPr>
      <w:rFonts w:cs="Times New Roman"/>
    </w:rPr>
  </w:style>
  <w:style w:type="paragraph" w:customStyle="1" w:styleId="s18">
    <w:name w:val="s18"/>
    <w:basedOn w:val="Normal"/>
    <w:rsid w:val="000D66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Refdecomentrio">
    <w:name w:val="annotation reference"/>
    <w:basedOn w:val="Fontepargpadro"/>
    <w:rsid w:val="00D00F2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00F23"/>
    <w:pPr>
      <w:spacing w:after="120"/>
      <w:jc w:val="both"/>
    </w:pPr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rsid w:val="00D00F23"/>
    <w:rPr>
      <w:rFonts w:ascii="Arial" w:hAnsi="Arial"/>
      <w:lang w:val="pt-BR" w:eastAsia="pt-BR" w:bidi="ar-SA"/>
    </w:rPr>
  </w:style>
  <w:style w:type="character" w:customStyle="1" w:styleId="PargrafodetextoChar">
    <w:name w:val="Parágrafo de texto Char"/>
    <w:link w:val="Pargrafodetexto"/>
    <w:locked/>
    <w:rsid w:val="00D56C54"/>
    <w:rPr>
      <w:rFonts w:ascii="Arial" w:eastAsia="Times New Roman" w:hAnsi="Arial" w:cs="Arial"/>
      <w:sz w:val="24"/>
      <w:szCs w:val="24"/>
    </w:rPr>
  </w:style>
  <w:style w:type="paragraph" w:customStyle="1" w:styleId="Pargrafodetexto">
    <w:name w:val="Parágrafo de texto"/>
    <w:link w:val="PargrafodetextoChar"/>
    <w:qFormat/>
    <w:rsid w:val="00D56C54"/>
    <w:pPr>
      <w:spacing w:before="20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rsid w:val="004D75BE"/>
  </w:style>
  <w:style w:type="character" w:customStyle="1" w:styleId="TextodenotaderodapChar">
    <w:name w:val="Texto de nota de rodapé Char"/>
    <w:basedOn w:val="Fontepargpadro"/>
    <w:link w:val="Textodenotaderodap"/>
    <w:rsid w:val="004D75BE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rsid w:val="004D75B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76B3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76B3"/>
    <w:rPr>
      <w:rFonts w:ascii="Times New Roman" w:eastAsia="Times New Roman" w:hAnsi="Times New Roman"/>
      <w:b/>
      <w:bCs/>
      <w:lang w:val="pt-BR" w:eastAsia="pt-BR" w:bidi="ar-SA"/>
    </w:rPr>
  </w:style>
  <w:style w:type="paragraph" w:styleId="Reviso">
    <w:name w:val="Revision"/>
    <w:hidden/>
    <w:uiPriority w:val="99"/>
    <w:semiHidden/>
    <w:rsid w:val="00EA186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2579-7F2A-44EA-B9E0-18266E32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Senado Federal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isabelas</dc:creator>
  <cp:lastModifiedBy>Daniella Guirelli Simões de Oliveira</cp:lastModifiedBy>
  <cp:revision>2</cp:revision>
  <cp:lastPrinted>2012-08-30T20:53:00Z</cp:lastPrinted>
  <dcterms:created xsi:type="dcterms:W3CDTF">2022-12-09T12:42:00Z</dcterms:created>
  <dcterms:modified xsi:type="dcterms:W3CDTF">2022-12-09T12:42:00Z</dcterms:modified>
</cp:coreProperties>
</file>