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E92" w:rsidRDefault="00A02E92" w:rsidP="00FB35B5">
      <w:pPr>
        <w:spacing w:line="360" w:lineRule="auto"/>
        <w:jc w:val="center"/>
        <w:rPr>
          <w:rFonts w:ascii="Arial" w:hAnsi="Arial" w:cs="Arial"/>
          <w:b/>
          <w:sz w:val="24"/>
          <w:szCs w:val="24"/>
        </w:rPr>
      </w:pPr>
    </w:p>
    <w:p w:rsidR="00124938" w:rsidRPr="00DB0B61" w:rsidRDefault="002E0F8D" w:rsidP="00FB35B5">
      <w:pPr>
        <w:spacing w:line="360" w:lineRule="auto"/>
        <w:jc w:val="center"/>
        <w:rPr>
          <w:rFonts w:ascii="Arial" w:hAnsi="Arial" w:cs="Arial"/>
          <w:b/>
          <w:sz w:val="24"/>
          <w:szCs w:val="24"/>
        </w:rPr>
      </w:pPr>
      <w:r>
        <w:rPr>
          <w:rFonts w:ascii="Arial" w:hAnsi="Arial" w:cs="Arial"/>
          <w:b/>
          <w:sz w:val="24"/>
          <w:szCs w:val="24"/>
        </w:rPr>
        <w:t xml:space="preserve">NOTA TÉCNICA </w:t>
      </w:r>
      <w:r w:rsidR="00A80E5A">
        <w:rPr>
          <w:rFonts w:ascii="Arial" w:hAnsi="Arial" w:cs="Arial"/>
          <w:b/>
          <w:sz w:val="24"/>
          <w:szCs w:val="24"/>
        </w:rPr>
        <w:t xml:space="preserve">DE MEDIDA PROVISÓRIA </w:t>
      </w:r>
      <w:r>
        <w:rPr>
          <w:rFonts w:ascii="Arial" w:hAnsi="Arial" w:cs="Arial"/>
          <w:b/>
          <w:sz w:val="24"/>
          <w:szCs w:val="24"/>
        </w:rPr>
        <w:t>N</w:t>
      </w:r>
      <w:r w:rsidR="00124938" w:rsidRPr="00DB0B61">
        <w:rPr>
          <w:rFonts w:ascii="Arial" w:hAnsi="Arial" w:cs="Arial"/>
          <w:b/>
          <w:sz w:val="24"/>
          <w:szCs w:val="24"/>
        </w:rPr>
        <w:t xml:space="preserve">º </w:t>
      </w:r>
      <w:r w:rsidR="001B5529" w:rsidRPr="003D1CB7">
        <w:rPr>
          <w:rFonts w:ascii="Arial" w:hAnsi="Arial" w:cs="Arial"/>
          <w:b/>
          <w:sz w:val="24"/>
          <w:szCs w:val="24"/>
        </w:rPr>
        <w:t>96/2020</w:t>
      </w:r>
    </w:p>
    <w:p w:rsidR="0064267B" w:rsidRPr="00FB35B5" w:rsidRDefault="0064267B" w:rsidP="00A02E92">
      <w:pPr>
        <w:spacing w:after="0" w:line="360" w:lineRule="auto"/>
        <w:jc w:val="both"/>
        <w:rPr>
          <w:rFonts w:ascii="Arial" w:hAnsi="Arial" w:cs="Arial"/>
          <w:sz w:val="24"/>
          <w:szCs w:val="24"/>
        </w:rPr>
      </w:pPr>
    </w:p>
    <w:p w:rsidR="00FB35B5" w:rsidRDefault="00FB35B5" w:rsidP="00053FDC">
      <w:pPr>
        <w:spacing w:line="360" w:lineRule="auto"/>
        <w:ind w:left="3969"/>
        <w:jc w:val="both"/>
        <w:rPr>
          <w:rFonts w:ascii="Arial" w:hAnsi="Arial" w:cs="Arial"/>
          <w:i/>
          <w:sz w:val="24"/>
          <w:szCs w:val="24"/>
        </w:rPr>
      </w:pPr>
      <w:r w:rsidRPr="00FB35B5">
        <w:rPr>
          <w:rFonts w:ascii="Arial" w:hAnsi="Arial" w:cs="Arial"/>
          <w:sz w:val="24"/>
          <w:szCs w:val="24"/>
        </w:rPr>
        <w:t xml:space="preserve">Assunto: subsídios para apreciação da adequação orçamentária e financeira da Medida Provisória nº </w:t>
      </w:r>
      <w:r w:rsidR="001B5529" w:rsidRPr="00975394">
        <w:rPr>
          <w:rFonts w:ascii="Arial" w:hAnsi="Arial" w:cs="Arial"/>
          <w:sz w:val="24"/>
          <w:szCs w:val="24"/>
        </w:rPr>
        <w:t>1.011</w:t>
      </w:r>
      <w:r w:rsidRPr="00FB35B5">
        <w:rPr>
          <w:rFonts w:ascii="Arial" w:hAnsi="Arial" w:cs="Arial"/>
          <w:sz w:val="24"/>
          <w:szCs w:val="24"/>
        </w:rPr>
        <w:t xml:space="preserve">, </w:t>
      </w:r>
      <w:r w:rsidR="00A80E5A">
        <w:rPr>
          <w:rFonts w:ascii="Arial" w:hAnsi="Arial" w:cs="Arial"/>
          <w:sz w:val="24"/>
          <w:szCs w:val="24"/>
        </w:rPr>
        <w:t xml:space="preserve">de </w:t>
      </w:r>
      <w:r w:rsidR="001B5529" w:rsidRPr="00975394">
        <w:rPr>
          <w:rFonts w:ascii="Arial" w:hAnsi="Arial" w:cs="Arial"/>
          <w:sz w:val="24"/>
          <w:szCs w:val="24"/>
        </w:rPr>
        <w:t>25</w:t>
      </w:r>
      <w:r w:rsidR="00A80E5A">
        <w:rPr>
          <w:rFonts w:ascii="Arial" w:hAnsi="Arial" w:cs="Arial"/>
          <w:sz w:val="24"/>
          <w:szCs w:val="24"/>
        </w:rPr>
        <w:t xml:space="preserve"> de novembro de </w:t>
      </w:r>
      <w:r w:rsidR="001B5529" w:rsidRPr="00975394">
        <w:rPr>
          <w:rFonts w:ascii="Arial" w:hAnsi="Arial" w:cs="Arial"/>
          <w:sz w:val="24"/>
          <w:szCs w:val="24"/>
        </w:rPr>
        <w:t>2020</w:t>
      </w:r>
      <w:r>
        <w:rPr>
          <w:rFonts w:ascii="Arial" w:hAnsi="Arial" w:cs="Arial"/>
          <w:sz w:val="24"/>
          <w:szCs w:val="24"/>
        </w:rPr>
        <w:t xml:space="preserve">, que </w:t>
      </w:r>
      <w:r w:rsidR="00A80E5A">
        <w:rPr>
          <w:rFonts w:ascii="Arial" w:hAnsi="Arial" w:cs="Arial"/>
          <w:sz w:val="24"/>
          <w:szCs w:val="24"/>
        </w:rPr>
        <w:t>a</w:t>
      </w:r>
      <w:r w:rsidR="001B5529" w:rsidRPr="00975394">
        <w:rPr>
          <w:rFonts w:ascii="Arial" w:hAnsi="Arial" w:cs="Arial"/>
          <w:sz w:val="24"/>
          <w:szCs w:val="24"/>
        </w:rPr>
        <w:t>bre crédito extraordinário, em favor do Ministério de Minas e Energia, no valor de R$ 80.000.000,00, para o fim que especifica.</w:t>
      </w:r>
    </w:p>
    <w:p w:rsidR="00A02E92" w:rsidRDefault="00A02E92" w:rsidP="00053FDC">
      <w:pPr>
        <w:spacing w:line="360" w:lineRule="auto"/>
        <w:ind w:left="3969"/>
        <w:jc w:val="both"/>
        <w:rPr>
          <w:rFonts w:ascii="Arial" w:hAnsi="Arial" w:cs="Arial"/>
          <w:i/>
          <w:sz w:val="24"/>
          <w:szCs w:val="24"/>
        </w:rPr>
      </w:pPr>
    </w:p>
    <w:p w:rsidR="00FB35B5" w:rsidRDefault="00FB35B5" w:rsidP="00FB35B5">
      <w:pPr>
        <w:spacing w:line="360" w:lineRule="auto"/>
        <w:jc w:val="both"/>
        <w:rPr>
          <w:rFonts w:ascii="Arial" w:hAnsi="Arial" w:cs="Arial"/>
          <w:b/>
        </w:rPr>
      </w:pPr>
      <w:r w:rsidRPr="00FB35B5">
        <w:rPr>
          <w:rFonts w:ascii="Arial" w:hAnsi="Arial" w:cs="Arial"/>
          <w:b/>
        </w:rPr>
        <w:t>I – INTRODUÇÃO</w:t>
      </w:r>
    </w:p>
    <w:p w:rsidR="00FB35B5" w:rsidRPr="00FB35B5" w:rsidRDefault="00FB35B5" w:rsidP="00FB35B5">
      <w:pPr>
        <w:spacing w:line="360" w:lineRule="auto"/>
        <w:ind w:firstLine="1418"/>
        <w:jc w:val="both"/>
        <w:rPr>
          <w:rFonts w:ascii="Arial" w:hAnsi="Arial" w:cs="Arial"/>
          <w:i/>
          <w:sz w:val="24"/>
          <w:szCs w:val="24"/>
        </w:rPr>
      </w:pPr>
      <w:r w:rsidRPr="00FB35B5">
        <w:rPr>
          <w:rFonts w:ascii="Arial" w:hAnsi="Arial" w:cs="Arial"/>
          <w:sz w:val="24"/>
          <w:szCs w:val="24"/>
        </w:rPr>
        <w:t xml:space="preserve">Nos termos do art. 62 da Constituição Federal, o Presidente da República submete ao Congresso Nacional a Medida Provisória nº </w:t>
      </w:r>
      <w:r w:rsidR="001B5529" w:rsidRPr="00975394">
        <w:rPr>
          <w:rFonts w:ascii="Arial" w:hAnsi="Arial" w:cs="Arial"/>
          <w:sz w:val="24"/>
          <w:szCs w:val="24"/>
        </w:rPr>
        <w:t>1.011</w:t>
      </w:r>
      <w:r w:rsidR="004E64C1" w:rsidRPr="00FB35B5">
        <w:rPr>
          <w:rFonts w:ascii="Arial" w:hAnsi="Arial" w:cs="Arial"/>
          <w:sz w:val="24"/>
          <w:szCs w:val="24"/>
        </w:rPr>
        <w:t xml:space="preserve">, </w:t>
      </w:r>
      <w:r w:rsidR="00A80E5A">
        <w:rPr>
          <w:rFonts w:ascii="Arial" w:hAnsi="Arial" w:cs="Arial"/>
          <w:sz w:val="24"/>
          <w:szCs w:val="24"/>
        </w:rPr>
        <w:t xml:space="preserve">de 25 de novembro de </w:t>
      </w:r>
      <w:r w:rsidR="001B5529" w:rsidRPr="00975394">
        <w:rPr>
          <w:rFonts w:ascii="Arial" w:hAnsi="Arial" w:cs="Arial"/>
          <w:sz w:val="24"/>
          <w:szCs w:val="24"/>
        </w:rPr>
        <w:t>2020</w:t>
      </w:r>
      <w:r w:rsidR="004E64C1">
        <w:rPr>
          <w:rFonts w:ascii="Arial" w:hAnsi="Arial" w:cs="Arial"/>
          <w:sz w:val="24"/>
          <w:szCs w:val="24"/>
        </w:rPr>
        <w:t>,</w:t>
      </w:r>
      <w:r w:rsidRPr="00FB35B5">
        <w:rPr>
          <w:rFonts w:ascii="Arial" w:hAnsi="Arial" w:cs="Arial"/>
          <w:sz w:val="24"/>
          <w:szCs w:val="24"/>
        </w:rPr>
        <w:t xml:space="preserve"> que </w:t>
      </w:r>
      <w:r w:rsidR="00A80E5A">
        <w:rPr>
          <w:rFonts w:ascii="Arial" w:hAnsi="Arial" w:cs="Arial"/>
          <w:sz w:val="24"/>
          <w:szCs w:val="24"/>
        </w:rPr>
        <w:t>a</w:t>
      </w:r>
      <w:r w:rsidR="001B5529" w:rsidRPr="00975394">
        <w:rPr>
          <w:rFonts w:ascii="Arial" w:hAnsi="Arial" w:cs="Arial"/>
          <w:sz w:val="24"/>
          <w:szCs w:val="24"/>
        </w:rPr>
        <w:t>bre crédito extraordinário, em favor do Ministério de Minas e Energia, no valor de R$ 80.000.000,00, para o fim que especifica.</w:t>
      </w:r>
    </w:p>
    <w:p w:rsidR="00FB35B5" w:rsidRPr="006724BF" w:rsidRDefault="00FB35B5" w:rsidP="00FB35B5">
      <w:pPr>
        <w:spacing w:line="360" w:lineRule="auto"/>
        <w:ind w:firstLine="1418"/>
        <w:jc w:val="both"/>
        <w:rPr>
          <w:rFonts w:ascii="Arial" w:hAnsi="Arial" w:cs="Arial"/>
          <w:i/>
          <w:sz w:val="24"/>
          <w:szCs w:val="24"/>
        </w:rPr>
      </w:pPr>
      <w:r w:rsidRPr="00FB35B5">
        <w:rPr>
          <w:rFonts w:ascii="Arial" w:hAnsi="Arial" w:cs="Arial"/>
          <w:sz w:val="24"/>
          <w:szCs w:val="24"/>
        </w:rPr>
        <w:t>A presente Nota Técnica atende à determinação do art.19 da Resolução n.º 1, de 2002, do Congr</w:t>
      </w:r>
      <w:r w:rsidR="006724BF">
        <w:rPr>
          <w:rFonts w:ascii="Arial" w:hAnsi="Arial" w:cs="Arial"/>
          <w:sz w:val="24"/>
          <w:szCs w:val="24"/>
        </w:rPr>
        <w:t xml:space="preserve">esso Nacional, que estabelece: </w:t>
      </w:r>
      <w:r w:rsidRPr="006724BF">
        <w:rPr>
          <w:rFonts w:ascii="Arial" w:hAnsi="Arial" w:cs="Arial"/>
          <w:i/>
          <w:sz w:val="24"/>
          <w:szCs w:val="24"/>
        </w:rPr>
        <w:t xml:space="preserve">O órgão de consultoria e assessoramento orçamentário da Casa a que pertencer o Relator de Medida Provisória encaminhará aos Relatores e à Comissão, no prazo de </w:t>
      </w:r>
      <w:proofErr w:type="gramStart"/>
      <w:r w:rsidRPr="006724BF">
        <w:rPr>
          <w:rFonts w:ascii="Arial" w:hAnsi="Arial" w:cs="Arial"/>
          <w:i/>
          <w:sz w:val="24"/>
          <w:szCs w:val="24"/>
        </w:rPr>
        <w:t>5</w:t>
      </w:r>
      <w:proofErr w:type="gramEnd"/>
      <w:r w:rsidRPr="006724BF">
        <w:rPr>
          <w:rFonts w:ascii="Arial" w:hAnsi="Arial" w:cs="Arial"/>
          <w:i/>
          <w:sz w:val="24"/>
          <w:szCs w:val="24"/>
        </w:rPr>
        <w:t xml:space="preserve"> (cinco) dias de sua publicação, nota técnica com subsídios acerca da adequação financeira e or</w:t>
      </w:r>
      <w:r w:rsidR="006724BF" w:rsidRPr="006724BF">
        <w:rPr>
          <w:rFonts w:ascii="Arial" w:hAnsi="Arial" w:cs="Arial"/>
          <w:i/>
          <w:sz w:val="24"/>
          <w:szCs w:val="24"/>
        </w:rPr>
        <w:t>çamentária de Medida Provisória</w:t>
      </w:r>
      <w:r w:rsidRPr="006724BF">
        <w:rPr>
          <w:rFonts w:ascii="Arial" w:hAnsi="Arial" w:cs="Arial"/>
          <w:i/>
          <w:sz w:val="24"/>
          <w:szCs w:val="24"/>
        </w:rPr>
        <w:t>.</w:t>
      </w:r>
    </w:p>
    <w:p w:rsidR="00FB35B5" w:rsidRDefault="00FB35B5" w:rsidP="00FB35B5">
      <w:pPr>
        <w:spacing w:line="360" w:lineRule="auto"/>
        <w:ind w:firstLine="1418"/>
        <w:jc w:val="both"/>
        <w:rPr>
          <w:rFonts w:ascii="Arial" w:hAnsi="Arial" w:cs="Arial"/>
          <w:sz w:val="24"/>
          <w:szCs w:val="24"/>
        </w:rPr>
      </w:pPr>
      <w:r>
        <w:rPr>
          <w:rFonts w:ascii="Arial" w:hAnsi="Arial" w:cs="Arial"/>
          <w:sz w:val="24"/>
          <w:szCs w:val="24"/>
        </w:rPr>
        <w:t>A Nota T</w:t>
      </w:r>
      <w:r w:rsidRPr="00FB35B5">
        <w:rPr>
          <w:rFonts w:ascii="Arial" w:hAnsi="Arial" w:cs="Arial"/>
          <w:sz w:val="24"/>
          <w:szCs w:val="24"/>
        </w:rPr>
        <w:t>écnica deve atender ao disposto no art. 5º, § 1º, da Resolução nº 1, de 2002-CN, que prescreve os requisitos a serem abordados quando do exame de compatibilidade e adequação orçamentária e financeira</w:t>
      </w:r>
      <w:r>
        <w:rPr>
          <w:rFonts w:ascii="Arial" w:hAnsi="Arial" w:cs="Arial"/>
          <w:sz w:val="24"/>
          <w:szCs w:val="24"/>
        </w:rPr>
        <w:t>, quais sejam</w:t>
      </w:r>
      <w:r w:rsidR="003F4726">
        <w:rPr>
          <w:rFonts w:ascii="Arial" w:hAnsi="Arial" w:cs="Arial"/>
          <w:sz w:val="24"/>
          <w:szCs w:val="24"/>
        </w:rPr>
        <w:t xml:space="preserve">: </w:t>
      </w:r>
      <w:r w:rsidRPr="003F4726">
        <w:rPr>
          <w:rFonts w:ascii="Arial" w:hAnsi="Arial" w:cs="Arial"/>
          <w:i/>
          <w:sz w:val="24"/>
          <w:szCs w:val="24"/>
        </w:rPr>
        <w:t>análise da repercussão sobre a receita ou a despesa pública da União e da implicação quanto ao atendimento das normas orçamentárias e financeiras vigentes, em especial a conformidade com a Lei Complementar nº 101, de 2000, a lei do plano plurianual, a lei de diretrizes orçamentárias e a lei orçamentária da União</w:t>
      </w:r>
      <w:r>
        <w:rPr>
          <w:rFonts w:ascii="Arial" w:hAnsi="Arial" w:cs="Arial"/>
          <w:sz w:val="24"/>
          <w:szCs w:val="24"/>
        </w:rPr>
        <w:t>.</w:t>
      </w:r>
    </w:p>
    <w:p w:rsidR="00481EE1" w:rsidRDefault="00481EE1" w:rsidP="00FB35B5">
      <w:pPr>
        <w:spacing w:line="360" w:lineRule="auto"/>
        <w:ind w:firstLine="1418"/>
        <w:jc w:val="both"/>
        <w:rPr>
          <w:rFonts w:ascii="Arial" w:hAnsi="Arial" w:cs="Arial"/>
          <w:sz w:val="24"/>
          <w:szCs w:val="24"/>
        </w:rPr>
      </w:pPr>
    </w:p>
    <w:p w:rsidR="00A90F74" w:rsidRDefault="00A90F74" w:rsidP="00A90F74">
      <w:pPr>
        <w:spacing w:line="360" w:lineRule="auto"/>
        <w:jc w:val="both"/>
        <w:rPr>
          <w:rFonts w:ascii="Arial" w:hAnsi="Arial" w:cs="Arial"/>
          <w:b/>
          <w:sz w:val="24"/>
          <w:szCs w:val="24"/>
        </w:rPr>
      </w:pPr>
      <w:bookmarkStart w:id="0" w:name="_GoBack"/>
      <w:bookmarkEnd w:id="0"/>
      <w:r w:rsidRPr="00FB35B5">
        <w:rPr>
          <w:rFonts w:ascii="Arial" w:hAnsi="Arial" w:cs="Arial"/>
          <w:b/>
          <w:sz w:val="24"/>
          <w:szCs w:val="24"/>
        </w:rPr>
        <w:t>II - SÍNTESE E ASPECTOS RELEVANTES DA MEDIDA PROVISÓRIA</w:t>
      </w:r>
    </w:p>
    <w:p w:rsidR="00F10205" w:rsidRPr="00F10205" w:rsidRDefault="00A90F74" w:rsidP="00F10205">
      <w:pPr>
        <w:spacing w:line="360" w:lineRule="auto"/>
        <w:ind w:firstLine="1276"/>
        <w:jc w:val="both"/>
        <w:rPr>
          <w:rFonts w:ascii="Arial" w:hAnsi="Arial" w:cs="Arial"/>
          <w:sz w:val="24"/>
          <w:szCs w:val="24"/>
        </w:rPr>
      </w:pPr>
      <w:r w:rsidRPr="00F10205">
        <w:rPr>
          <w:rFonts w:ascii="Arial" w:hAnsi="Arial" w:cs="Arial"/>
          <w:sz w:val="24"/>
          <w:szCs w:val="24"/>
        </w:rPr>
        <w:t>De acordo com a Exposição de Moti</w:t>
      </w:r>
      <w:r w:rsidR="00553C2D" w:rsidRPr="00F10205">
        <w:rPr>
          <w:rFonts w:ascii="Arial" w:hAnsi="Arial" w:cs="Arial"/>
          <w:sz w:val="24"/>
          <w:szCs w:val="24"/>
        </w:rPr>
        <w:t>vos (EM) nº</w:t>
      </w:r>
      <w:r w:rsidR="0034397D">
        <w:rPr>
          <w:rFonts w:ascii="Arial" w:hAnsi="Arial" w:cs="Arial"/>
          <w:sz w:val="24"/>
          <w:szCs w:val="24"/>
        </w:rPr>
        <w:t xml:space="preserve"> </w:t>
      </w:r>
      <w:r w:rsidR="00553C2D" w:rsidRPr="00F10205">
        <w:rPr>
          <w:rFonts w:ascii="Arial" w:hAnsi="Arial" w:cs="Arial"/>
          <w:sz w:val="24"/>
          <w:szCs w:val="24"/>
        </w:rPr>
        <w:t>436</w:t>
      </w:r>
      <w:r w:rsidRPr="00F10205">
        <w:rPr>
          <w:rFonts w:ascii="Arial" w:hAnsi="Arial" w:cs="Arial"/>
          <w:sz w:val="24"/>
          <w:szCs w:val="24"/>
        </w:rPr>
        <w:t>/2020</w:t>
      </w:r>
      <w:r w:rsidR="006069BB">
        <w:rPr>
          <w:rFonts w:ascii="Arial" w:hAnsi="Arial" w:cs="Arial"/>
          <w:sz w:val="24"/>
          <w:szCs w:val="24"/>
        </w:rPr>
        <w:t>-ME</w:t>
      </w:r>
      <w:r w:rsidRPr="00F10205">
        <w:rPr>
          <w:rFonts w:ascii="Arial" w:hAnsi="Arial" w:cs="Arial"/>
          <w:sz w:val="24"/>
          <w:szCs w:val="24"/>
        </w:rPr>
        <w:t xml:space="preserve">, </w:t>
      </w:r>
      <w:r w:rsidR="0034397D">
        <w:rPr>
          <w:rFonts w:ascii="Arial" w:hAnsi="Arial" w:cs="Arial"/>
          <w:sz w:val="24"/>
          <w:szCs w:val="24"/>
        </w:rPr>
        <w:t xml:space="preserve">que acompanha </w:t>
      </w:r>
      <w:proofErr w:type="gramStart"/>
      <w:r w:rsidR="0034397D">
        <w:rPr>
          <w:rFonts w:ascii="Arial" w:hAnsi="Arial" w:cs="Arial"/>
          <w:sz w:val="24"/>
          <w:szCs w:val="24"/>
        </w:rPr>
        <w:t>a presente</w:t>
      </w:r>
      <w:proofErr w:type="gramEnd"/>
      <w:r w:rsidR="0034397D">
        <w:rPr>
          <w:rFonts w:ascii="Arial" w:hAnsi="Arial" w:cs="Arial"/>
          <w:sz w:val="24"/>
          <w:szCs w:val="24"/>
        </w:rPr>
        <w:t xml:space="preserve"> MPV, </w:t>
      </w:r>
      <w:r w:rsidR="00F10205" w:rsidRPr="00F10205">
        <w:rPr>
          <w:rFonts w:ascii="Arial" w:hAnsi="Arial" w:cs="Arial"/>
          <w:sz w:val="24"/>
          <w:szCs w:val="24"/>
        </w:rPr>
        <w:t xml:space="preserve">o Estado do Amapá enfrenta sérios problemas decorrentes da insuficiência no fornecimento de energia elétrica para suprir as necessidades da sua população, em razão de tempestade com intensa atividade elétrica no interior das nuvens, que causou danos na estação de distribuição de energia elétrica e a interrupção de seu fornecimento. Tal situação ensejou a edição da Portaria nº 2.938, de 21 de novembro de 2020, do Ministério do Desenvolvimento Regional, </w:t>
      </w:r>
      <w:r w:rsidR="008D7B91">
        <w:rPr>
          <w:rFonts w:ascii="Arial" w:hAnsi="Arial" w:cs="Arial"/>
          <w:sz w:val="24"/>
          <w:szCs w:val="24"/>
        </w:rPr>
        <w:t xml:space="preserve">que </w:t>
      </w:r>
      <w:r w:rsidR="00F10205" w:rsidRPr="00F10205">
        <w:rPr>
          <w:rFonts w:ascii="Arial" w:hAnsi="Arial" w:cs="Arial"/>
          <w:sz w:val="24"/>
          <w:szCs w:val="24"/>
        </w:rPr>
        <w:t>reconheceu o estado de calamidade pública em todo o Estado do Amapá.</w:t>
      </w:r>
    </w:p>
    <w:p w:rsidR="00582DA3" w:rsidRPr="00F10205" w:rsidRDefault="00F10205" w:rsidP="00F10205">
      <w:pPr>
        <w:spacing w:line="360" w:lineRule="auto"/>
        <w:ind w:firstLine="1276"/>
        <w:jc w:val="both"/>
        <w:rPr>
          <w:rFonts w:ascii="Arial" w:hAnsi="Arial" w:cs="Arial"/>
          <w:sz w:val="24"/>
          <w:szCs w:val="24"/>
        </w:rPr>
      </w:pPr>
      <w:r w:rsidRPr="00F10205">
        <w:rPr>
          <w:rFonts w:ascii="Arial" w:hAnsi="Arial" w:cs="Arial"/>
          <w:sz w:val="24"/>
          <w:szCs w:val="24"/>
        </w:rPr>
        <w:t>Ainda segundo a Exposição de Motivos</w:t>
      </w:r>
      <w:r w:rsidR="00A90F74" w:rsidRPr="00F10205">
        <w:rPr>
          <w:rFonts w:ascii="Arial" w:hAnsi="Arial" w:cs="Arial"/>
          <w:sz w:val="24"/>
          <w:szCs w:val="24"/>
        </w:rPr>
        <w:t xml:space="preserve">, o crédito extraordinário em exame tem como objetivo </w:t>
      </w:r>
      <w:r w:rsidR="00553C2D" w:rsidRPr="00F10205">
        <w:rPr>
          <w:rFonts w:ascii="Arial" w:hAnsi="Arial" w:cs="Arial"/>
          <w:sz w:val="24"/>
          <w:szCs w:val="24"/>
        </w:rPr>
        <w:t>viabilizar a transferência de R$ 80</w:t>
      </w:r>
      <w:r w:rsidR="008D7B91">
        <w:rPr>
          <w:rFonts w:ascii="Arial" w:hAnsi="Arial" w:cs="Arial"/>
          <w:sz w:val="24"/>
          <w:szCs w:val="24"/>
        </w:rPr>
        <w:t>,0</w:t>
      </w:r>
      <w:r w:rsidR="00553C2D" w:rsidRPr="00F10205">
        <w:rPr>
          <w:rFonts w:ascii="Arial" w:hAnsi="Arial" w:cs="Arial"/>
          <w:sz w:val="24"/>
          <w:szCs w:val="24"/>
        </w:rPr>
        <w:t xml:space="preserve"> milhões para de Conta de Desenvolvimento Energético – CDE (Lei nº 10.438, de 26 de abril de 2002), no âmbito da Agência Nacion</w:t>
      </w:r>
      <w:r w:rsidR="002B3DD8">
        <w:rPr>
          <w:rFonts w:ascii="Arial" w:hAnsi="Arial" w:cs="Arial"/>
          <w:sz w:val="24"/>
          <w:szCs w:val="24"/>
        </w:rPr>
        <w:t>al de Energia Elétrica – ANEEL</w:t>
      </w:r>
      <w:r w:rsidR="00582DA3" w:rsidRPr="00F10205">
        <w:rPr>
          <w:rFonts w:ascii="Arial" w:hAnsi="Arial" w:cs="Arial"/>
          <w:sz w:val="24"/>
          <w:szCs w:val="24"/>
        </w:rPr>
        <w:t xml:space="preserve">. </w:t>
      </w:r>
      <w:r w:rsidR="00553C2D" w:rsidRPr="00F10205">
        <w:rPr>
          <w:rFonts w:ascii="Arial" w:hAnsi="Arial" w:cs="Arial"/>
          <w:sz w:val="24"/>
          <w:szCs w:val="24"/>
        </w:rPr>
        <w:t xml:space="preserve">A transferência </w:t>
      </w:r>
      <w:r w:rsidR="00582DA3" w:rsidRPr="00F10205">
        <w:rPr>
          <w:rFonts w:ascii="Arial" w:hAnsi="Arial" w:cs="Arial"/>
          <w:sz w:val="24"/>
          <w:szCs w:val="24"/>
        </w:rPr>
        <w:t xml:space="preserve">do Governo Federal </w:t>
      </w:r>
      <w:r w:rsidR="00553C2D" w:rsidRPr="00F10205">
        <w:rPr>
          <w:rFonts w:ascii="Arial" w:hAnsi="Arial" w:cs="Arial"/>
          <w:sz w:val="24"/>
          <w:szCs w:val="24"/>
        </w:rPr>
        <w:t xml:space="preserve">possibilitará </w:t>
      </w:r>
      <w:r w:rsidR="00582DA3" w:rsidRPr="00F10205">
        <w:rPr>
          <w:rFonts w:ascii="Arial" w:hAnsi="Arial" w:cs="Arial"/>
          <w:sz w:val="24"/>
          <w:szCs w:val="24"/>
        </w:rPr>
        <w:t xml:space="preserve">à CDE prover </w:t>
      </w:r>
      <w:r w:rsidR="00553C2D" w:rsidRPr="00F10205">
        <w:rPr>
          <w:rFonts w:ascii="Arial" w:hAnsi="Arial" w:cs="Arial"/>
          <w:sz w:val="24"/>
          <w:szCs w:val="24"/>
        </w:rPr>
        <w:t xml:space="preserve">o </w:t>
      </w:r>
      <w:r w:rsidR="00582DA3" w:rsidRPr="00F10205">
        <w:rPr>
          <w:rFonts w:ascii="Arial" w:hAnsi="Arial" w:cs="Arial"/>
          <w:sz w:val="24"/>
          <w:szCs w:val="24"/>
        </w:rPr>
        <w:t>ressarcimento</w:t>
      </w:r>
      <w:r w:rsidR="00553C2D" w:rsidRPr="00F10205">
        <w:rPr>
          <w:rFonts w:ascii="Arial" w:hAnsi="Arial" w:cs="Arial"/>
          <w:sz w:val="24"/>
          <w:szCs w:val="24"/>
        </w:rPr>
        <w:t>,</w:t>
      </w:r>
      <w:r w:rsidR="00582DA3" w:rsidRPr="00F10205">
        <w:rPr>
          <w:rFonts w:ascii="Arial" w:hAnsi="Arial" w:cs="Arial"/>
          <w:sz w:val="24"/>
          <w:szCs w:val="24"/>
        </w:rPr>
        <w:t xml:space="preserve"> </w:t>
      </w:r>
      <w:r w:rsidR="00553C2D" w:rsidRPr="00F10205">
        <w:rPr>
          <w:rFonts w:ascii="Arial" w:hAnsi="Arial" w:cs="Arial"/>
          <w:sz w:val="24"/>
          <w:szCs w:val="24"/>
        </w:rPr>
        <w:t xml:space="preserve">à Companhia de Eletricidade do Amapá – CEA, dos valores das faturas de energia </w:t>
      </w:r>
      <w:proofErr w:type="gramStart"/>
      <w:r w:rsidR="00553C2D" w:rsidRPr="00F10205">
        <w:rPr>
          <w:rFonts w:ascii="Arial" w:hAnsi="Arial" w:cs="Arial"/>
          <w:sz w:val="24"/>
          <w:szCs w:val="24"/>
        </w:rPr>
        <w:t>elétrica não pagas</w:t>
      </w:r>
      <w:proofErr w:type="gramEnd"/>
      <w:r w:rsidR="00553C2D" w:rsidRPr="00F10205">
        <w:rPr>
          <w:rFonts w:ascii="Arial" w:hAnsi="Arial" w:cs="Arial"/>
          <w:sz w:val="24"/>
          <w:szCs w:val="24"/>
        </w:rPr>
        <w:t xml:space="preserve"> pelos consumidores</w:t>
      </w:r>
      <w:r w:rsidR="00582DA3" w:rsidRPr="00F10205">
        <w:rPr>
          <w:rFonts w:ascii="Arial" w:hAnsi="Arial" w:cs="Arial"/>
          <w:sz w:val="24"/>
          <w:szCs w:val="24"/>
        </w:rPr>
        <w:t xml:space="preserve"> dos municípios do Estado do Amapá afetados pela interrupç</w:t>
      </w:r>
      <w:r w:rsidRPr="00F10205">
        <w:rPr>
          <w:rFonts w:ascii="Arial" w:hAnsi="Arial" w:cs="Arial"/>
          <w:sz w:val="24"/>
          <w:szCs w:val="24"/>
        </w:rPr>
        <w:t xml:space="preserve">ão do fornecimento de energia, </w:t>
      </w:r>
      <w:r w:rsidR="00582DA3" w:rsidRPr="00F10205">
        <w:rPr>
          <w:rFonts w:ascii="Arial" w:hAnsi="Arial" w:cs="Arial"/>
          <w:sz w:val="24"/>
          <w:szCs w:val="24"/>
        </w:rPr>
        <w:t>referente ao c</w:t>
      </w:r>
      <w:r>
        <w:rPr>
          <w:rFonts w:ascii="Arial" w:hAnsi="Arial" w:cs="Arial"/>
          <w:sz w:val="24"/>
          <w:szCs w:val="24"/>
        </w:rPr>
        <w:t xml:space="preserve">onsumo dos últimos trinta dias. </w:t>
      </w:r>
      <w:r w:rsidR="00582DA3" w:rsidRPr="00F10205">
        <w:rPr>
          <w:rFonts w:ascii="Arial" w:hAnsi="Arial" w:cs="Arial"/>
          <w:sz w:val="24"/>
          <w:szCs w:val="24"/>
        </w:rPr>
        <w:t>O não pagamento das faturas decorre de isen</w:t>
      </w:r>
      <w:r w:rsidR="008D7B91">
        <w:rPr>
          <w:rFonts w:ascii="Arial" w:hAnsi="Arial" w:cs="Arial"/>
          <w:sz w:val="24"/>
          <w:szCs w:val="24"/>
        </w:rPr>
        <w:t>ção concedida pela MPV nº 1010, de 25 de novembro de 2020.</w:t>
      </w:r>
    </w:p>
    <w:p w:rsidR="00A90F74" w:rsidRPr="00F10205" w:rsidRDefault="00A90F74" w:rsidP="00553C2D">
      <w:pPr>
        <w:spacing w:line="360" w:lineRule="auto"/>
        <w:ind w:firstLine="1276"/>
        <w:jc w:val="both"/>
        <w:rPr>
          <w:rFonts w:ascii="Arial" w:hAnsi="Arial" w:cs="Arial"/>
          <w:b/>
          <w:sz w:val="24"/>
          <w:szCs w:val="24"/>
        </w:rPr>
      </w:pPr>
      <w:r w:rsidRPr="00F10205">
        <w:rPr>
          <w:rFonts w:ascii="Arial" w:hAnsi="Arial" w:cs="Arial"/>
          <w:sz w:val="24"/>
          <w:szCs w:val="24"/>
        </w:rPr>
        <w:t xml:space="preserve">Ademais, com vistas a atestar o cumprimento dos requisitos constitucionais de relevância, urgência e imprevisibilidade para a abertura do presente crédito extraordinário, previstos nos </w:t>
      </w:r>
      <w:proofErr w:type="spellStart"/>
      <w:r w:rsidRPr="00F10205">
        <w:rPr>
          <w:rFonts w:ascii="Arial" w:hAnsi="Arial" w:cs="Arial"/>
          <w:sz w:val="24"/>
          <w:szCs w:val="24"/>
        </w:rPr>
        <w:t>arts</w:t>
      </w:r>
      <w:proofErr w:type="spellEnd"/>
      <w:r w:rsidRPr="00F10205">
        <w:rPr>
          <w:rFonts w:ascii="Arial" w:hAnsi="Arial" w:cs="Arial"/>
          <w:sz w:val="24"/>
          <w:szCs w:val="24"/>
        </w:rPr>
        <w:t xml:space="preserve">. 62, caput, e 167, § 3º, da Constituição Federal, a Exposição de Motivos apresentou </w:t>
      </w:r>
      <w:r w:rsidR="008D7B91" w:rsidRPr="00F10205">
        <w:rPr>
          <w:rFonts w:ascii="Arial" w:hAnsi="Arial" w:cs="Arial"/>
          <w:sz w:val="24"/>
          <w:szCs w:val="24"/>
        </w:rPr>
        <w:t xml:space="preserve">as razões que teriam motivado e justificado </w:t>
      </w:r>
      <w:r w:rsidR="008D7B91">
        <w:rPr>
          <w:rFonts w:ascii="Arial" w:hAnsi="Arial" w:cs="Arial"/>
          <w:sz w:val="24"/>
          <w:szCs w:val="24"/>
        </w:rPr>
        <w:t>a</w:t>
      </w:r>
      <w:r w:rsidR="008D7B91" w:rsidRPr="00F10205">
        <w:rPr>
          <w:rFonts w:ascii="Arial" w:hAnsi="Arial" w:cs="Arial"/>
          <w:sz w:val="24"/>
          <w:szCs w:val="24"/>
        </w:rPr>
        <w:t xml:space="preserve"> edição</w:t>
      </w:r>
      <w:r w:rsidR="00F10205" w:rsidRPr="00F10205">
        <w:rPr>
          <w:rFonts w:ascii="Arial" w:hAnsi="Arial" w:cs="Arial"/>
          <w:sz w:val="24"/>
          <w:szCs w:val="24"/>
        </w:rPr>
        <w:t xml:space="preserve"> da MPV. </w:t>
      </w:r>
      <w:r w:rsidRPr="00F10205">
        <w:rPr>
          <w:rFonts w:ascii="Arial" w:hAnsi="Arial" w:cs="Arial"/>
          <w:sz w:val="24"/>
          <w:szCs w:val="24"/>
        </w:rPr>
        <w:t>Nesse sentido, a Exposição de Motivos esclarece que:</w:t>
      </w:r>
    </w:p>
    <w:p w:rsidR="00553C2D" w:rsidRDefault="00A90F74" w:rsidP="00553C2D">
      <w:pPr>
        <w:pStyle w:val="Corpodetexto"/>
        <w:spacing w:before="120" w:after="120" w:line="360" w:lineRule="auto"/>
        <w:ind w:firstLine="1418"/>
        <w:jc w:val="both"/>
        <w:rPr>
          <w:rFonts w:ascii="Arial" w:hAnsi="Arial" w:cs="Arial"/>
          <w:i/>
        </w:rPr>
      </w:pPr>
      <w:r w:rsidRPr="00553C2D">
        <w:rPr>
          <w:rFonts w:ascii="Arial" w:hAnsi="Arial" w:cs="Arial"/>
          <w:szCs w:val="24"/>
        </w:rPr>
        <w:t xml:space="preserve">A urgência </w:t>
      </w:r>
      <w:r w:rsidR="00553C2D" w:rsidRPr="00553C2D">
        <w:rPr>
          <w:rFonts w:ascii="Arial" w:hAnsi="Arial" w:cs="Arial"/>
        </w:rPr>
        <w:t xml:space="preserve">decorre </w:t>
      </w:r>
      <w:r w:rsidR="00553C2D" w:rsidRPr="00553C2D">
        <w:rPr>
          <w:rFonts w:ascii="Arial" w:hAnsi="Arial" w:cs="Arial"/>
          <w:i/>
        </w:rPr>
        <w:t xml:space="preserve">da necessidade do célere enfrentamento a esse cenário de crise, inclusive mediante benefício a ser estendido aos residentes no Estado do Amapá, visando minimizar, prontamente, os impactos socioeconômicos advindos dessa conjuntura. </w:t>
      </w:r>
    </w:p>
    <w:p w:rsidR="00553C2D" w:rsidRPr="00553C2D" w:rsidRDefault="00A90F74" w:rsidP="00553C2D">
      <w:pPr>
        <w:pStyle w:val="Corpodetexto"/>
        <w:spacing w:before="120" w:after="120" w:line="360" w:lineRule="auto"/>
        <w:ind w:firstLine="1418"/>
        <w:jc w:val="both"/>
        <w:rPr>
          <w:rFonts w:ascii="Arial" w:hAnsi="Arial" w:cs="Arial"/>
          <w:i/>
        </w:rPr>
      </w:pPr>
      <w:r w:rsidRPr="00553C2D">
        <w:rPr>
          <w:rFonts w:ascii="Arial" w:hAnsi="Arial" w:cs="Arial"/>
          <w:szCs w:val="24"/>
        </w:rPr>
        <w:lastRenderedPageBreak/>
        <w:t xml:space="preserve">A relevância, por sua vez, </w:t>
      </w:r>
      <w:r w:rsidR="00553C2D" w:rsidRPr="00553C2D">
        <w:rPr>
          <w:rFonts w:ascii="Arial" w:hAnsi="Arial" w:cs="Arial"/>
          <w:i/>
        </w:rPr>
        <w:t>deve-se ao fato de que a interrupção no fornecimento de energia elétrica atingiu toda a população dos municípios afetados, sendo entendido como evento adverso que vem causando comoção interna, situação amplamente noticiada pela mídia nacional, de forma que a isenção nas tarifas de energia elétrica para os residentes domiciliados naquele Estado, pelo período de um mês, representa um alivio nas despesas desses consumidores.</w:t>
      </w:r>
    </w:p>
    <w:p w:rsidR="00A90F74" w:rsidRDefault="00A90F74" w:rsidP="00553C2D">
      <w:pPr>
        <w:pStyle w:val="Corpodetexto"/>
        <w:spacing w:before="120" w:after="120" w:line="360" w:lineRule="auto"/>
        <w:ind w:firstLine="1418"/>
        <w:jc w:val="both"/>
        <w:rPr>
          <w:rFonts w:ascii="Arial" w:hAnsi="Arial" w:cs="Arial"/>
          <w:i/>
        </w:rPr>
      </w:pPr>
      <w:r w:rsidRPr="00553C2D">
        <w:rPr>
          <w:rFonts w:ascii="Arial" w:hAnsi="Arial" w:cs="Arial"/>
          <w:szCs w:val="24"/>
        </w:rPr>
        <w:t xml:space="preserve">A imprevisibilidade </w:t>
      </w:r>
      <w:r w:rsidRPr="00553C2D">
        <w:rPr>
          <w:rFonts w:ascii="Arial" w:hAnsi="Arial" w:cs="Arial"/>
          <w:i/>
          <w:szCs w:val="24"/>
        </w:rPr>
        <w:t xml:space="preserve">decorre </w:t>
      </w:r>
      <w:r w:rsidR="00553C2D" w:rsidRPr="00553C2D">
        <w:rPr>
          <w:rFonts w:ascii="Arial" w:hAnsi="Arial" w:cs="Arial"/>
          <w:i/>
        </w:rPr>
        <w:t>da impossibilidade de antever, para o presente exercício financeiro, a necessidade dos recursos para o enfrentamento da atual situação emergencial, ocasionada por eventos meteorológicos.</w:t>
      </w:r>
    </w:p>
    <w:p w:rsidR="00FE6115" w:rsidRPr="008D7B91" w:rsidRDefault="00FE6115" w:rsidP="00FE6115">
      <w:pPr>
        <w:pStyle w:val="Corpodetexto"/>
        <w:spacing w:before="120" w:after="120" w:line="360" w:lineRule="auto"/>
        <w:ind w:firstLine="1418"/>
        <w:jc w:val="both"/>
        <w:rPr>
          <w:rFonts w:ascii="Arial" w:hAnsi="Arial" w:cs="Arial"/>
          <w:szCs w:val="24"/>
        </w:rPr>
      </w:pPr>
      <w:r w:rsidRPr="00FE6115">
        <w:rPr>
          <w:rFonts w:ascii="Arial" w:hAnsi="Arial" w:cs="Arial"/>
        </w:rPr>
        <w:t>A Exposição de Motivos ainda destaca que o referido crédito está de acordo com a dispensa permitida pelo art. 4º da Emenda Constitucion</w:t>
      </w:r>
      <w:r w:rsidR="00B843D6">
        <w:rPr>
          <w:rFonts w:ascii="Arial" w:hAnsi="Arial" w:cs="Arial"/>
        </w:rPr>
        <w:t xml:space="preserve">al nº 106, de </w:t>
      </w:r>
      <w:proofErr w:type="gramStart"/>
      <w:r w:rsidR="00B843D6">
        <w:rPr>
          <w:rFonts w:ascii="Arial" w:hAnsi="Arial" w:cs="Arial"/>
        </w:rPr>
        <w:t>7</w:t>
      </w:r>
      <w:proofErr w:type="gramEnd"/>
      <w:r w:rsidR="00B843D6">
        <w:rPr>
          <w:rFonts w:ascii="Arial" w:hAnsi="Arial" w:cs="Arial"/>
        </w:rPr>
        <w:t xml:space="preserve"> de maio de 2020. Tal </w:t>
      </w:r>
      <w:r w:rsidR="008D7B91">
        <w:rPr>
          <w:rFonts w:ascii="Arial" w:hAnsi="Arial" w:cs="Arial"/>
        </w:rPr>
        <w:t>artigo</w:t>
      </w:r>
      <w:r w:rsidR="00B843D6">
        <w:rPr>
          <w:rFonts w:ascii="Arial" w:hAnsi="Arial" w:cs="Arial"/>
        </w:rPr>
        <w:t xml:space="preserve"> dispõe </w:t>
      </w:r>
      <w:r w:rsidR="00B843D6" w:rsidRPr="008D7B91">
        <w:rPr>
          <w:rFonts w:ascii="Arial" w:hAnsi="Arial" w:cs="Arial"/>
          <w:szCs w:val="24"/>
        </w:rPr>
        <w:t>que</w:t>
      </w:r>
      <w:r w:rsidR="008D7B91" w:rsidRPr="008D7B91">
        <w:rPr>
          <w:rFonts w:ascii="Arial" w:hAnsi="Arial" w:cs="Arial"/>
          <w:szCs w:val="24"/>
        </w:rPr>
        <w:t xml:space="preserve"> s</w:t>
      </w:r>
      <w:r w:rsidR="00B843D6" w:rsidRPr="008D7B91">
        <w:rPr>
          <w:rFonts w:ascii="Arial" w:hAnsi="Arial" w:cs="Arial"/>
          <w:szCs w:val="24"/>
        </w:rPr>
        <w:t xml:space="preserve">erá </w:t>
      </w:r>
      <w:r w:rsidR="008D7B91" w:rsidRPr="008D7B91">
        <w:rPr>
          <w:rFonts w:ascii="Arial" w:hAnsi="Arial" w:cs="Arial"/>
          <w:szCs w:val="24"/>
        </w:rPr>
        <w:t>dispensado</w:t>
      </w:r>
      <w:r w:rsidR="00B843D6" w:rsidRPr="008D7B91">
        <w:rPr>
          <w:rFonts w:ascii="Arial" w:hAnsi="Arial" w:cs="Arial"/>
          <w:szCs w:val="24"/>
        </w:rPr>
        <w:t xml:space="preserve">, durante a integralidade do exercício financeiro em que vigore calamidade pública nacional, </w:t>
      </w:r>
      <w:r w:rsidR="0034397D">
        <w:rPr>
          <w:rFonts w:ascii="Arial" w:hAnsi="Arial" w:cs="Arial"/>
          <w:szCs w:val="24"/>
        </w:rPr>
        <w:t xml:space="preserve">caso do presente exercício, </w:t>
      </w:r>
      <w:r w:rsidR="006D6FBD" w:rsidRPr="008D7B91">
        <w:rPr>
          <w:rFonts w:ascii="Arial" w:hAnsi="Arial" w:cs="Arial"/>
          <w:szCs w:val="24"/>
        </w:rPr>
        <w:t>o atendimento da “regra de ouro” prevista no</w:t>
      </w:r>
      <w:r w:rsidR="00B843D6" w:rsidRPr="008D7B91">
        <w:rPr>
          <w:rFonts w:ascii="Arial" w:hAnsi="Arial" w:cs="Arial"/>
          <w:szCs w:val="24"/>
        </w:rPr>
        <w:t> inciso III do </w:t>
      </w:r>
      <w:r w:rsidR="00B843D6" w:rsidRPr="008D7B91">
        <w:rPr>
          <w:rFonts w:ascii="Arial" w:hAnsi="Arial" w:cs="Arial"/>
          <w:b/>
          <w:bCs/>
          <w:szCs w:val="24"/>
        </w:rPr>
        <w:t>caput</w:t>
      </w:r>
      <w:r w:rsidR="00B843D6" w:rsidRPr="008D7B91">
        <w:rPr>
          <w:rFonts w:ascii="Arial" w:hAnsi="Arial" w:cs="Arial"/>
          <w:szCs w:val="24"/>
        </w:rPr>
        <w:t> do art. 167 da Constituição Federal</w:t>
      </w:r>
      <w:r w:rsidR="006D6FBD" w:rsidRPr="008D7B91">
        <w:rPr>
          <w:rFonts w:ascii="Arial" w:hAnsi="Arial" w:cs="Arial"/>
          <w:szCs w:val="24"/>
        </w:rPr>
        <w:t xml:space="preserve">. </w:t>
      </w:r>
    </w:p>
    <w:p w:rsidR="00A90F74" w:rsidRPr="00810DEA" w:rsidRDefault="00A90F74" w:rsidP="00A90F74">
      <w:pPr>
        <w:spacing w:line="360" w:lineRule="auto"/>
        <w:ind w:firstLine="1134"/>
        <w:jc w:val="both"/>
        <w:rPr>
          <w:rFonts w:ascii="Arial" w:hAnsi="Arial" w:cs="Arial"/>
          <w:sz w:val="24"/>
          <w:szCs w:val="24"/>
          <w:lang w:eastAsia="pt-BR"/>
        </w:rPr>
      </w:pPr>
    </w:p>
    <w:p w:rsidR="00A90F74" w:rsidRDefault="00A90F74" w:rsidP="00A90F74">
      <w:pPr>
        <w:spacing w:line="360" w:lineRule="auto"/>
        <w:jc w:val="both"/>
        <w:rPr>
          <w:rFonts w:ascii="Arial" w:hAnsi="Arial" w:cs="Arial"/>
          <w:b/>
          <w:sz w:val="24"/>
          <w:szCs w:val="24"/>
        </w:rPr>
      </w:pPr>
      <w:r>
        <w:rPr>
          <w:rFonts w:ascii="Arial" w:hAnsi="Arial" w:cs="Arial"/>
          <w:b/>
          <w:sz w:val="24"/>
          <w:szCs w:val="24"/>
        </w:rPr>
        <w:t>III -</w:t>
      </w:r>
      <w:r w:rsidRPr="002A74A1">
        <w:rPr>
          <w:rFonts w:ascii="Arial" w:hAnsi="Arial" w:cs="Arial"/>
          <w:b/>
          <w:sz w:val="24"/>
          <w:szCs w:val="24"/>
        </w:rPr>
        <w:t xml:space="preserve"> Subsídios acerca da adequação orçamentária e financeira</w:t>
      </w:r>
    </w:p>
    <w:p w:rsidR="00A90F74" w:rsidRDefault="00A90F74" w:rsidP="006D6FBD">
      <w:pPr>
        <w:spacing w:line="360" w:lineRule="auto"/>
        <w:ind w:firstLine="1134"/>
        <w:jc w:val="both"/>
        <w:rPr>
          <w:rFonts w:ascii="Arial" w:hAnsi="Arial" w:cs="Arial"/>
          <w:i/>
          <w:sz w:val="24"/>
          <w:szCs w:val="24"/>
        </w:rPr>
      </w:pPr>
      <w:r w:rsidRPr="00364535">
        <w:rPr>
          <w:rFonts w:ascii="Arial" w:hAnsi="Arial" w:cs="Arial"/>
          <w:sz w:val="24"/>
          <w:szCs w:val="24"/>
        </w:rPr>
        <w:t>O § 1º do art. 5º da Reso</w:t>
      </w:r>
      <w:r>
        <w:rPr>
          <w:rFonts w:ascii="Arial" w:hAnsi="Arial" w:cs="Arial"/>
          <w:sz w:val="24"/>
          <w:szCs w:val="24"/>
        </w:rPr>
        <w:t>lução nº 1, de 2002 – CN, que d</w:t>
      </w:r>
      <w:r w:rsidRPr="00364535">
        <w:rPr>
          <w:rFonts w:ascii="Arial" w:hAnsi="Arial" w:cs="Arial"/>
          <w:sz w:val="24"/>
          <w:szCs w:val="24"/>
        </w:rPr>
        <w:t>ispõe sobre a apreciação, pelo Congresso Nacional, das Medidas Provisórias a que se refere o art. 62 da Constituição Fe</w:t>
      </w:r>
      <w:r>
        <w:rPr>
          <w:rFonts w:ascii="Arial" w:hAnsi="Arial" w:cs="Arial"/>
          <w:sz w:val="24"/>
          <w:szCs w:val="24"/>
        </w:rPr>
        <w:t>deral, e dá outras providências</w:t>
      </w:r>
      <w:r w:rsidRPr="00364535">
        <w:rPr>
          <w:rFonts w:ascii="Arial" w:hAnsi="Arial" w:cs="Arial"/>
          <w:sz w:val="24"/>
          <w:szCs w:val="24"/>
        </w:rPr>
        <w:t>, refere-se da seguinte forma ao exame de adequa</w:t>
      </w:r>
      <w:r>
        <w:rPr>
          <w:rFonts w:ascii="Arial" w:hAnsi="Arial" w:cs="Arial"/>
          <w:sz w:val="24"/>
          <w:szCs w:val="24"/>
        </w:rPr>
        <w:t xml:space="preserve">ção orçamentária e financeira: </w:t>
      </w:r>
      <w:r w:rsidRPr="00A02E92">
        <w:rPr>
          <w:rFonts w:ascii="Arial" w:hAnsi="Arial" w:cs="Arial"/>
          <w:i/>
          <w:sz w:val="24"/>
          <w:szCs w:val="24"/>
        </w:rPr>
        <w:t>O exame de compatibilidade e adequação orçamentária e financeira das Medidas Provisórias abrange a análise da repercussão sobre a receita ou a despesa pública da União e da</w:t>
      </w:r>
      <w:r>
        <w:rPr>
          <w:rFonts w:ascii="Arial" w:hAnsi="Arial" w:cs="Arial"/>
          <w:i/>
          <w:sz w:val="24"/>
          <w:szCs w:val="24"/>
        </w:rPr>
        <w:t xml:space="preserve"> </w:t>
      </w:r>
      <w:r w:rsidRPr="00A02E92">
        <w:rPr>
          <w:rFonts w:ascii="Arial" w:hAnsi="Arial" w:cs="Arial"/>
          <w:i/>
          <w:sz w:val="24"/>
          <w:szCs w:val="24"/>
        </w:rPr>
        <w:t xml:space="preserve">implicação quanto ao atendimento das normas orçamentárias e financeiras vigentes, em especial a conformidade com a Lei Complementar nº 101, de </w:t>
      </w:r>
      <w:proofErr w:type="gramStart"/>
      <w:r w:rsidRPr="00A02E92">
        <w:rPr>
          <w:rFonts w:ascii="Arial" w:hAnsi="Arial" w:cs="Arial"/>
          <w:i/>
          <w:sz w:val="24"/>
          <w:szCs w:val="24"/>
        </w:rPr>
        <w:t>4</w:t>
      </w:r>
      <w:proofErr w:type="gramEnd"/>
      <w:r w:rsidRPr="00A02E92">
        <w:rPr>
          <w:rFonts w:ascii="Arial" w:hAnsi="Arial" w:cs="Arial"/>
          <w:i/>
          <w:sz w:val="24"/>
          <w:szCs w:val="24"/>
        </w:rPr>
        <w:t xml:space="preserve"> de maio de 2000, a lei do plano plurianual, a lei de diretrizes orçamentárias e a lei orçamentária da União.</w:t>
      </w:r>
    </w:p>
    <w:p w:rsidR="00E52E57" w:rsidRPr="00E52E57" w:rsidRDefault="00E52E57" w:rsidP="006D6FBD">
      <w:pPr>
        <w:pStyle w:val="Recuodecorpodetexto2"/>
        <w:spacing w:line="360" w:lineRule="auto"/>
        <w:ind w:left="0" w:firstLine="1134"/>
        <w:jc w:val="both"/>
        <w:rPr>
          <w:rFonts w:ascii="Arial" w:hAnsi="Arial" w:cs="Arial"/>
          <w:b/>
          <w:sz w:val="24"/>
          <w:szCs w:val="24"/>
        </w:rPr>
      </w:pPr>
      <w:r w:rsidRPr="00E52E57">
        <w:rPr>
          <w:rFonts w:ascii="Arial" w:hAnsi="Arial" w:cs="Arial"/>
          <w:sz w:val="24"/>
          <w:szCs w:val="24"/>
        </w:rPr>
        <w:t>Convém ressaltar que,</w:t>
      </w:r>
      <w:r w:rsidR="006069BB">
        <w:rPr>
          <w:rFonts w:ascii="Arial" w:hAnsi="Arial" w:cs="Arial"/>
          <w:sz w:val="24"/>
          <w:szCs w:val="24"/>
        </w:rPr>
        <w:t xml:space="preserve"> como regra geral, o objeto da Nota T</w:t>
      </w:r>
      <w:r w:rsidRPr="00E52E57">
        <w:rPr>
          <w:rFonts w:ascii="Arial" w:hAnsi="Arial" w:cs="Arial"/>
          <w:sz w:val="24"/>
          <w:szCs w:val="24"/>
        </w:rPr>
        <w:t xml:space="preserve">écnica de adequação orçamentária não abrange o exame da observância dos pressupostos constitucionais de admissibilidade das medidas provisórias (relevância e urgência). Porém, no caso de créditos extraordinários, devem ser analisados os requisitos </w:t>
      </w:r>
      <w:r w:rsidRPr="00E52E57">
        <w:rPr>
          <w:rFonts w:ascii="Arial" w:hAnsi="Arial" w:cs="Arial"/>
          <w:sz w:val="24"/>
          <w:szCs w:val="24"/>
        </w:rPr>
        <w:lastRenderedPageBreak/>
        <w:t>constitucionais de imprevisibilidade e urgência, pois derivam de disposição orçamentária específica (art. 167, § 3º, da Constituição Federal).</w:t>
      </w:r>
    </w:p>
    <w:p w:rsidR="00E52E57" w:rsidRPr="00700FFE" w:rsidRDefault="00E52E57" w:rsidP="00700FFE">
      <w:pPr>
        <w:pStyle w:val="Recuodecorpodetexto2"/>
        <w:spacing w:line="360" w:lineRule="auto"/>
        <w:ind w:left="0" w:firstLine="708"/>
        <w:jc w:val="both"/>
        <w:rPr>
          <w:rFonts w:ascii="Arial" w:hAnsi="Arial" w:cs="Arial"/>
          <w:b/>
          <w:sz w:val="24"/>
          <w:szCs w:val="24"/>
        </w:rPr>
      </w:pPr>
      <w:r w:rsidRPr="00700FFE">
        <w:rPr>
          <w:rFonts w:ascii="Arial" w:hAnsi="Arial" w:cs="Arial"/>
          <w:sz w:val="24"/>
          <w:szCs w:val="24"/>
        </w:rPr>
        <w:t xml:space="preserve">Quanto a esse aspecto, parece razoável considerar que as informações constantes da EM </w:t>
      </w:r>
      <w:r w:rsidR="00234172" w:rsidRPr="00700FFE">
        <w:rPr>
          <w:rFonts w:ascii="Arial" w:hAnsi="Arial" w:cs="Arial"/>
          <w:sz w:val="24"/>
          <w:szCs w:val="24"/>
        </w:rPr>
        <w:t>nº 436</w:t>
      </w:r>
      <w:r w:rsidRPr="00700FFE">
        <w:rPr>
          <w:rFonts w:ascii="Arial" w:hAnsi="Arial" w:cs="Arial"/>
          <w:sz w:val="24"/>
          <w:szCs w:val="24"/>
        </w:rPr>
        <w:t>/2020</w:t>
      </w:r>
      <w:r w:rsidR="006069BB" w:rsidRPr="00700FFE">
        <w:rPr>
          <w:rFonts w:ascii="Arial" w:hAnsi="Arial" w:cs="Arial"/>
          <w:sz w:val="24"/>
          <w:szCs w:val="24"/>
        </w:rPr>
        <w:t>-ME</w:t>
      </w:r>
      <w:r w:rsidRPr="00700FFE">
        <w:rPr>
          <w:rFonts w:ascii="Arial" w:hAnsi="Arial" w:cs="Arial"/>
          <w:sz w:val="24"/>
          <w:szCs w:val="24"/>
        </w:rPr>
        <w:t xml:space="preserve">, reproduzidas anteriormente, que destacam a necessidade de ação governamental imediata </w:t>
      </w:r>
      <w:r w:rsidR="00700FFE" w:rsidRPr="00700FFE">
        <w:rPr>
          <w:rFonts w:ascii="Arial" w:hAnsi="Arial" w:cs="Arial"/>
          <w:sz w:val="24"/>
          <w:szCs w:val="24"/>
        </w:rPr>
        <w:t xml:space="preserve">visando minimizar os impactos socioeconômicos advindos </w:t>
      </w:r>
      <w:r w:rsidR="006069BB" w:rsidRPr="00700FFE">
        <w:rPr>
          <w:rFonts w:ascii="Arial" w:hAnsi="Arial" w:cs="Arial"/>
          <w:sz w:val="24"/>
          <w:szCs w:val="24"/>
        </w:rPr>
        <w:t xml:space="preserve">da </w:t>
      </w:r>
      <w:r w:rsidR="00234172" w:rsidRPr="00700FFE">
        <w:rPr>
          <w:rFonts w:ascii="Arial" w:hAnsi="Arial" w:cs="Arial"/>
          <w:sz w:val="24"/>
          <w:szCs w:val="24"/>
        </w:rPr>
        <w:t xml:space="preserve">interrupção </w:t>
      </w:r>
      <w:r w:rsidR="006069BB" w:rsidRPr="00700FFE">
        <w:rPr>
          <w:rFonts w:ascii="Arial" w:hAnsi="Arial" w:cs="Arial"/>
          <w:sz w:val="24"/>
          <w:szCs w:val="24"/>
        </w:rPr>
        <w:t>do</w:t>
      </w:r>
      <w:r w:rsidR="00234172" w:rsidRPr="00700FFE">
        <w:rPr>
          <w:rFonts w:ascii="Arial" w:hAnsi="Arial" w:cs="Arial"/>
          <w:sz w:val="24"/>
          <w:szCs w:val="24"/>
        </w:rPr>
        <w:t xml:space="preserve"> fornecimento </w:t>
      </w:r>
      <w:r w:rsidR="006069BB" w:rsidRPr="00700FFE">
        <w:rPr>
          <w:rFonts w:ascii="Arial" w:hAnsi="Arial" w:cs="Arial"/>
          <w:sz w:val="24"/>
          <w:szCs w:val="24"/>
        </w:rPr>
        <w:t xml:space="preserve">de energia elétrica aos </w:t>
      </w:r>
      <w:r w:rsidR="00700FFE">
        <w:rPr>
          <w:rFonts w:ascii="Arial" w:hAnsi="Arial" w:cs="Arial"/>
          <w:sz w:val="24"/>
          <w:szCs w:val="24"/>
        </w:rPr>
        <w:t>consumidores</w:t>
      </w:r>
      <w:r w:rsidR="006069BB" w:rsidRPr="00700FFE">
        <w:rPr>
          <w:rFonts w:ascii="Arial" w:hAnsi="Arial" w:cs="Arial"/>
          <w:sz w:val="24"/>
          <w:szCs w:val="24"/>
        </w:rPr>
        <w:t xml:space="preserve"> dos</w:t>
      </w:r>
      <w:r w:rsidR="00234172" w:rsidRPr="00700FFE">
        <w:rPr>
          <w:rFonts w:ascii="Arial" w:hAnsi="Arial" w:cs="Arial"/>
          <w:sz w:val="24"/>
          <w:szCs w:val="24"/>
        </w:rPr>
        <w:t xml:space="preserve"> municípios </w:t>
      </w:r>
      <w:r w:rsidR="003D7AE3" w:rsidRPr="00700FFE">
        <w:rPr>
          <w:rFonts w:ascii="Arial" w:hAnsi="Arial" w:cs="Arial"/>
          <w:sz w:val="24"/>
          <w:szCs w:val="24"/>
        </w:rPr>
        <w:t xml:space="preserve">afetados, </w:t>
      </w:r>
      <w:r w:rsidR="00700FFE" w:rsidRPr="00700FFE">
        <w:rPr>
          <w:rFonts w:ascii="Arial" w:hAnsi="Arial" w:cs="Arial"/>
          <w:sz w:val="24"/>
          <w:szCs w:val="24"/>
        </w:rPr>
        <w:t>são suficientes para demonstrar a observância dos referidos requisitos.</w:t>
      </w:r>
    </w:p>
    <w:p w:rsidR="00FE6115" w:rsidRPr="008D7B91" w:rsidRDefault="00234172" w:rsidP="00234172">
      <w:pPr>
        <w:spacing w:line="360" w:lineRule="auto"/>
        <w:ind w:firstLine="1134"/>
        <w:jc w:val="both"/>
        <w:rPr>
          <w:rFonts w:ascii="Arial" w:hAnsi="Arial" w:cs="Arial"/>
          <w:color w:val="000000" w:themeColor="text1"/>
          <w:sz w:val="24"/>
          <w:szCs w:val="24"/>
        </w:rPr>
      </w:pPr>
      <w:r w:rsidRPr="008D7B91">
        <w:rPr>
          <w:rFonts w:ascii="Arial" w:hAnsi="Arial" w:cs="Arial"/>
          <w:sz w:val="24"/>
          <w:szCs w:val="24"/>
        </w:rPr>
        <w:t>Conforme consta do Anexo da MP</w:t>
      </w:r>
      <w:r w:rsidR="0034397D">
        <w:rPr>
          <w:rFonts w:ascii="Arial" w:hAnsi="Arial" w:cs="Arial"/>
          <w:sz w:val="24"/>
          <w:szCs w:val="24"/>
        </w:rPr>
        <w:t>V</w:t>
      </w:r>
      <w:r w:rsidRPr="008D7B91">
        <w:rPr>
          <w:rFonts w:ascii="Arial" w:hAnsi="Arial" w:cs="Arial"/>
          <w:sz w:val="24"/>
          <w:szCs w:val="24"/>
        </w:rPr>
        <w:t xml:space="preserve">, </w:t>
      </w:r>
      <w:r w:rsidR="00FE6115" w:rsidRPr="008D7B91">
        <w:rPr>
          <w:rFonts w:ascii="Arial" w:hAnsi="Arial" w:cs="Arial"/>
          <w:color w:val="000000" w:themeColor="text1"/>
          <w:sz w:val="24"/>
          <w:szCs w:val="24"/>
        </w:rPr>
        <w:t>verifica-se que a dotação</w:t>
      </w:r>
      <w:r w:rsidR="00FE6115" w:rsidRPr="008D7B91">
        <w:rPr>
          <w:rFonts w:ascii="Arial" w:hAnsi="Arial" w:cs="Arial"/>
          <w:color w:val="000000" w:themeColor="text1"/>
          <w:spacing w:val="-11"/>
          <w:sz w:val="24"/>
          <w:szCs w:val="24"/>
        </w:rPr>
        <w:t xml:space="preserve"> </w:t>
      </w:r>
      <w:r w:rsidR="00FE6115" w:rsidRPr="008D7B91">
        <w:rPr>
          <w:rFonts w:ascii="Arial" w:hAnsi="Arial" w:cs="Arial"/>
          <w:color w:val="000000" w:themeColor="text1"/>
          <w:sz w:val="24"/>
          <w:szCs w:val="24"/>
        </w:rPr>
        <w:t>está</w:t>
      </w:r>
      <w:proofErr w:type="gramStart"/>
      <w:r w:rsidR="00FE6115" w:rsidRPr="008D7B91">
        <w:rPr>
          <w:rFonts w:ascii="Arial" w:hAnsi="Arial" w:cs="Arial"/>
          <w:color w:val="000000" w:themeColor="text1"/>
          <w:spacing w:val="-10"/>
          <w:sz w:val="24"/>
          <w:szCs w:val="24"/>
        </w:rPr>
        <w:t xml:space="preserve"> </w:t>
      </w:r>
      <w:r w:rsidRPr="008D7B91">
        <w:rPr>
          <w:rFonts w:ascii="Arial" w:hAnsi="Arial" w:cs="Arial"/>
          <w:color w:val="000000" w:themeColor="text1"/>
          <w:spacing w:val="-10"/>
          <w:sz w:val="24"/>
          <w:szCs w:val="24"/>
        </w:rPr>
        <w:t xml:space="preserve"> </w:t>
      </w:r>
      <w:proofErr w:type="gramEnd"/>
      <w:r w:rsidRPr="008D7B91">
        <w:rPr>
          <w:rFonts w:ascii="Arial" w:hAnsi="Arial" w:cs="Arial"/>
          <w:color w:val="000000" w:themeColor="text1"/>
          <w:spacing w:val="-10"/>
          <w:sz w:val="24"/>
          <w:szCs w:val="24"/>
        </w:rPr>
        <w:t xml:space="preserve">adequadamente </w:t>
      </w:r>
      <w:r w:rsidR="00FE6115" w:rsidRPr="008D7B91">
        <w:rPr>
          <w:rFonts w:ascii="Arial" w:hAnsi="Arial" w:cs="Arial"/>
          <w:color w:val="000000" w:themeColor="text1"/>
          <w:sz w:val="24"/>
          <w:szCs w:val="24"/>
        </w:rPr>
        <w:t>alocada</w:t>
      </w:r>
      <w:r w:rsidR="00FE6115" w:rsidRPr="008D7B91">
        <w:rPr>
          <w:rFonts w:ascii="Arial" w:hAnsi="Arial" w:cs="Arial"/>
          <w:color w:val="000000" w:themeColor="text1"/>
          <w:spacing w:val="-10"/>
          <w:sz w:val="24"/>
          <w:szCs w:val="24"/>
        </w:rPr>
        <w:t xml:space="preserve"> </w:t>
      </w:r>
      <w:r w:rsidR="00FE6115" w:rsidRPr="008D7B91">
        <w:rPr>
          <w:rFonts w:ascii="Arial" w:hAnsi="Arial" w:cs="Arial"/>
          <w:color w:val="000000" w:themeColor="text1"/>
          <w:sz w:val="24"/>
          <w:szCs w:val="24"/>
        </w:rPr>
        <w:t>na</w:t>
      </w:r>
      <w:r w:rsidR="00FE6115" w:rsidRPr="008D7B91">
        <w:rPr>
          <w:rFonts w:ascii="Arial" w:hAnsi="Arial" w:cs="Arial"/>
          <w:color w:val="000000" w:themeColor="text1"/>
          <w:spacing w:val="-9"/>
          <w:sz w:val="24"/>
          <w:szCs w:val="24"/>
        </w:rPr>
        <w:t xml:space="preserve"> </w:t>
      </w:r>
      <w:r w:rsidR="00FE6115" w:rsidRPr="008D7B91">
        <w:rPr>
          <w:rFonts w:ascii="Arial" w:hAnsi="Arial" w:cs="Arial"/>
          <w:color w:val="000000" w:themeColor="text1"/>
          <w:sz w:val="24"/>
          <w:szCs w:val="24"/>
        </w:rPr>
        <w:t>ação</w:t>
      </w:r>
      <w:r w:rsidR="00FE6115" w:rsidRPr="008D7B91">
        <w:rPr>
          <w:rFonts w:ascii="Arial" w:hAnsi="Arial" w:cs="Arial"/>
          <w:color w:val="000000" w:themeColor="text1"/>
          <w:spacing w:val="-8"/>
          <w:sz w:val="24"/>
          <w:szCs w:val="24"/>
        </w:rPr>
        <w:t xml:space="preserve"> </w:t>
      </w:r>
      <w:r w:rsidR="00FE6115" w:rsidRPr="008D7B91">
        <w:rPr>
          <w:rFonts w:ascii="Arial" w:hAnsi="Arial" w:cs="Arial"/>
          <w:b/>
          <w:color w:val="000000" w:themeColor="text1"/>
          <w:sz w:val="24"/>
          <w:szCs w:val="24"/>
        </w:rPr>
        <w:t>00NY</w:t>
      </w:r>
      <w:r w:rsidR="00FE6115" w:rsidRPr="008D7B91">
        <w:rPr>
          <w:rFonts w:ascii="Arial" w:hAnsi="Arial" w:cs="Arial"/>
          <w:b/>
          <w:color w:val="000000" w:themeColor="text1"/>
          <w:spacing w:val="-10"/>
          <w:sz w:val="24"/>
          <w:szCs w:val="24"/>
        </w:rPr>
        <w:t xml:space="preserve"> </w:t>
      </w:r>
      <w:r w:rsidR="00FE6115" w:rsidRPr="008D7B91">
        <w:rPr>
          <w:rFonts w:ascii="Arial" w:hAnsi="Arial" w:cs="Arial"/>
          <w:b/>
          <w:color w:val="000000" w:themeColor="text1"/>
          <w:sz w:val="24"/>
          <w:szCs w:val="24"/>
        </w:rPr>
        <w:t>-</w:t>
      </w:r>
      <w:r w:rsidR="00FE6115" w:rsidRPr="008D7B91">
        <w:rPr>
          <w:rFonts w:ascii="Arial" w:hAnsi="Arial" w:cs="Arial"/>
          <w:b/>
          <w:color w:val="000000" w:themeColor="text1"/>
          <w:spacing w:val="-9"/>
          <w:sz w:val="24"/>
          <w:szCs w:val="24"/>
        </w:rPr>
        <w:t xml:space="preserve"> </w:t>
      </w:r>
      <w:r w:rsidR="00FE6115" w:rsidRPr="008D7B91">
        <w:rPr>
          <w:rFonts w:ascii="Arial" w:hAnsi="Arial" w:cs="Arial"/>
          <w:b/>
          <w:bCs/>
          <w:color w:val="000000"/>
          <w:sz w:val="24"/>
          <w:szCs w:val="24"/>
        </w:rPr>
        <w:t>Transferência de Recursos para a Conta de Desenvolvimento Energético (Lei nº 10.438, de 26 de abril de 2002)</w:t>
      </w:r>
      <w:r w:rsidR="00FE6115" w:rsidRPr="008D7B91">
        <w:rPr>
          <w:rFonts w:ascii="Arial" w:hAnsi="Arial" w:cs="Arial"/>
          <w:color w:val="000000" w:themeColor="text1"/>
          <w:sz w:val="24"/>
          <w:szCs w:val="24"/>
        </w:rPr>
        <w:t xml:space="preserve">, como despesas primárias obrigatórias (RP 1) - portanto elevam as despesas primárias constantes da Lei Orçamentária para 2020 - e serão </w:t>
      </w:r>
      <w:r w:rsidRPr="008D7B91">
        <w:rPr>
          <w:rFonts w:ascii="Arial" w:hAnsi="Arial" w:cs="Arial"/>
          <w:color w:val="000000" w:themeColor="text1"/>
          <w:sz w:val="24"/>
          <w:szCs w:val="24"/>
        </w:rPr>
        <w:t xml:space="preserve">pagas </w:t>
      </w:r>
      <w:r w:rsidR="00E52E57" w:rsidRPr="008D7B91">
        <w:rPr>
          <w:rFonts w:ascii="Arial" w:hAnsi="Arial" w:cs="Arial"/>
          <w:color w:val="000000" w:themeColor="text1"/>
          <w:sz w:val="24"/>
          <w:szCs w:val="24"/>
        </w:rPr>
        <w:t xml:space="preserve">com </w:t>
      </w:r>
      <w:r w:rsidR="00E52E57" w:rsidRPr="00B6241D">
        <w:rPr>
          <w:rFonts w:ascii="Arial" w:hAnsi="Arial" w:cs="Arial"/>
          <w:color w:val="000000" w:themeColor="text1"/>
          <w:sz w:val="24"/>
          <w:szCs w:val="24"/>
        </w:rPr>
        <w:t xml:space="preserve">recursos </w:t>
      </w:r>
      <w:r w:rsidR="00B6241D" w:rsidRPr="00B6241D">
        <w:rPr>
          <w:rFonts w:ascii="Arial" w:hAnsi="Arial" w:cs="Arial"/>
          <w:color w:val="000000" w:themeColor="text1"/>
          <w:sz w:val="24"/>
          <w:szCs w:val="24"/>
        </w:rPr>
        <w:t>primários de livre aplicação</w:t>
      </w:r>
      <w:r w:rsidR="00E52E57" w:rsidRPr="00B6241D">
        <w:rPr>
          <w:rFonts w:ascii="Arial" w:hAnsi="Arial" w:cs="Arial"/>
          <w:color w:val="000000" w:themeColor="text1"/>
          <w:sz w:val="24"/>
          <w:szCs w:val="24"/>
        </w:rPr>
        <w:t xml:space="preserve"> arrecadados em exercícios anteriores</w:t>
      </w:r>
      <w:r w:rsidR="00FE6115" w:rsidRPr="00B6241D">
        <w:rPr>
          <w:rFonts w:ascii="Arial" w:hAnsi="Arial" w:cs="Arial"/>
          <w:color w:val="000000" w:themeColor="text1"/>
          <w:sz w:val="24"/>
          <w:szCs w:val="24"/>
        </w:rPr>
        <w:t xml:space="preserve"> (fonte</w:t>
      </w:r>
      <w:r w:rsidR="00FE6115" w:rsidRPr="008D7B91">
        <w:rPr>
          <w:rFonts w:ascii="Arial" w:hAnsi="Arial" w:cs="Arial"/>
          <w:color w:val="000000" w:themeColor="text1"/>
          <w:sz w:val="24"/>
          <w:szCs w:val="24"/>
        </w:rPr>
        <w:t xml:space="preserve"> 300)</w:t>
      </w:r>
      <w:r w:rsidR="00B6241D">
        <w:rPr>
          <w:rFonts w:ascii="Arial" w:hAnsi="Arial" w:cs="Arial"/>
          <w:color w:val="000000" w:themeColor="text1"/>
          <w:sz w:val="24"/>
          <w:szCs w:val="24"/>
        </w:rPr>
        <w:t>.</w:t>
      </w:r>
    </w:p>
    <w:p w:rsidR="00234172" w:rsidRPr="00234172" w:rsidRDefault="00234172" w:rsidP="00234172">
      <w:pPr>
        <w:pStyle w:val="Recuodecorpodetexto2"/>
        <w:spacing w:line="360" w:lineRule="auto"/>
        <w:ind w:left="0" w:firstLine="1134"/>
        <w:jc w:val="both"/>
        <w:rPr>
          <w:rFonts w:ascii="Arial" w:hAnsi="Arial" w:cs="Arial"/>
          <w:b/>
          <w:sz w:val="24"/>
          <w:szCs w:val="24"/>
        </w:rPr>
      </w:pPr>
      <w:r w:rsidRPr="00234172">
        <w:rPr>
          <w:rFonts w:ascii="Arial" w:hAnsi="Arial" w:cs="Arial"/>
          <w:sz w:val="24"/>
          <w:szCs w:val="24"/>
        </w:rPr>
        <w:t xml:space="preserve">A MP </w:t>
      </w:r>
      <w:r>
        <w:rPr>
          <w:rFonts w:ascii="Arial" w:hAnsi="Arial" w:cs="Arial"/>
          <w:sz w:val="24"/>
          <w:szCs w:val="24"/>
        </w:rPr>
        <w:t>nº 1.011</w:t>
      </w:r>
      <w:r w:rsidRPr="00234172">
        <w:rPr>
          <w:rFonts w:ascii="Arial" w:hAnsi="Arial" w:cs="Arial"/>
          <w:sz w:val="24"/>
          <w:szCs w:val="24"/>
        </w:rPr>
        <w:t>/2020, ao autorizar novas despesas primárias sem oferecer como compensação o cancelamento de outras despesas primárias já inseridas no orçamento (ou incorporar novas receitas primárias), modifica o resultado primário da União, elevando o déficit primário. Entretanto, cabe lembrar que, nesse caso, a ausência dessa compensação não se configura um problema formal, pois a legislação permite a abertura de créditos extraordinários mesmo sem haver a indicação dos recursos compensatórios</w:t>
      </w:r>
      <w:r w:rsidR="006D6FBD">
        <w:rPr>
          <w:rFonts w:ascii="Arial" w:hAnsi="Arial" w:cs="Arial"/>
          <w:sz w:val="24"/>
          <w:szCs w:val="24"/>
        </w:rPr>
        <w:t xml:space="preserve"> (</w:t>
      </w:r>
      <w:r w:rsidR="0034397D">
        <w:rPr>
          <w:rFonts w:ascii="Arial" w:hAnsi="Arial" w:cs="Arial"/>
          <w:sz w:val="24"/>
          <w:szCs w:val="24"/>
        </w:rPr>
        <w:t xml:space="preserve">inciso </w:t>
      </w:r>
      <w:r w:rsidR="006D6FBD" w:rsidRPr="00234172">
        <w:rPr>
          <w:rFonts w:ascii="Arial" w:hAnsi="Arial" w:cs="Arial"/>
          <w:sz w:val="24"/>
          <w:szCs w:val="24"/>
        </w:rPr>
        <w:t>V do art. 167</w:t>
      </w:r>
      <w:r w:rsidR="006D6FBD">
        <w:rPr>
          <w:rFonts w:ascii="Arial" w:hAnsi="Arial" w:cs="Arial"/>
          <w:sz w:val="24"/>
          <w:szCs w:val="24"/>
        </w:rPr>
        <w:t xml:space="preserve"> da CF e art. 43 da Lei nº 4.320/1964)</w:t>
      </w:r>
      <w:r w:rsidRPr="00234172">
        <w:rPr>
          <w:rFonts w:ascii="Arial" w:hAnsi="Arial" w:cs="Arial"/>
          <w:sz w:val="24"/>
          <w:szCs w:val="24"/>
        </w:rPr>
        <w:t>.</w:t>
      </w:r>
    </w:p>
    <w:p w:rsidR="00234172" w:rsidRPr="00234172" w:rsidRDefault="00234172" w:rsidP="00234172">
      <w:pPr>
        <w:pStyle w:val="Recuodecorpodetexto2"/>
        <w:spacing w:line="360" w:lineRule="auto"/>
        <w:ind w:left="0" w:firstLine="1134"/>
        <w:jc w:val="both"/>
        <w:rPr>
          <w:rFonts w:ascii="Arial" w:hAnsi="Arial" w:cs="Arial"/>
          <w:b/>
          <w:sz w:val="24"/>
          <w:szCs w:val="24"/>
        </w:rPr>
      </w:pPr>
      <w:r w:rsidRPr="00234172">
        <w:rPr>
          <w:rFonts w:ascii="Arial" w:hAnsi="Arial" w:cs="Arial"/>
          <w:sz w:val="24"/>
          <w:szCs w:val="24"/>
        </w:rPr>
        <w:t xml:space="preserve">Além disso, quanto à possível necessidade de se elevar o contingenciamento de outras despesas primárias para se assegurar o equilíbrio orçamentário e não prejudicar o alcance da meta fiscal, cabe mencionar que não será necessário, pois, a partir do reconhecimento pelo Congresso Nacional do estado de calamidade pública, </w:t>
      </w:r>
      <w:r w:rsidR="002C1F7F">
        <w:rPr>
          <w:rFonts w:ascii="Arial" w:hAnsi="Arial" w:cs="Arial"/>
          <w:sz w:val="24"/>
          <w:szCs w:val="24"/>
        </w:rPr>
        <w:t>por meio do Decreto Legislativo nº 06/</w:t>
      </w:r>
      <w:r w:rsidR="002C1F7F" w:rsidRPr="00364535">
        <w:rPr>
          <w:rFonts w:ascii="Arial" w:hAnsi="Arial" w:cs="Arial"/>
          <w:sz w:val="24"/>
          <w:szCs w:val="24"/>
        </w:rPr>
        <w:t>2020</w:t>
      </w:r>
      <w:r w:rsidR="002C1F7F">
        <w:rPr>
          <w:rFonts w:ascii="Arial" w:hAnsi="Arial" w:cs="Arial"/>
          <w:sz w:val="24"/>
          <w:szCs w:val="24"/>
        </w:rPr>
        <w:t xml:space="preserve">, </w:t>
      </w:r>
      <w:r w:rsidRPr="00234172">
        <w:rPr>
          <w:rFonts w:ascii="Arial" w:hAnsi="Arial" w:cs="Arial"/>
          <w:sz w:val="24"/>
          <w:szCs w:val="24"/>
        </w:rPr>
        <w:t>nos termos do art. 65 da LRF, o Poder Executivo está dispensado de atingir a meta fiscal fixada na Lei de Diretrizes Orçamentárias de 2020.</w:t>
      </w:r>
    </w:p>
    <w:p w:rsidR="00234172" w:rsidRPr="00234172" w:rsidRDefault="002C1F7F" w:rsidP="008D7B91">
      <w:pPr>
        <w:pStyle w:val="Corpodetexto"/>
        <w:spacing w:before="120" w:after="120" w:line="360" w:lineRule="auto"/>
        <w:ind w:firstLine="1418"/>
        <w:jc w:val="both"/>
        <w:rPr>
          <w:rFonts w:ascii="Arial" w:hAnsi="Arial" w:cs="Arial"/>
          <w:b/>
          <w:szCs w:val="24"/>
        </w:rPr>
      </w:pPr>
      <w:r>
        <w:rPr>
          <w:rFonts w:ascii="Arial" w:hAnsi="Arial" w:cs="Arial"/>
          <w:szCs w:val="24"/>
        </w:rPr>
        <w:t xml:space="preserve">Destaca-se ainda, </w:t>
      </w:r>
      <w:r w:rsidR="00234172" w:rsidRPr="00234172">
        <w:rPr>
          <w:rFonts w:ascii="Arial" w:hAnsi="Arial" w:cs="Arial"/>
          <w:szCs w:val="24"/>
        </w:rPr>
        <w:t xml:space="preserve">que </w:t>
      </w:r>
      <w:r>
        <w:rPr>
          <w:rFonts w:ascii="Arial" w:hAnsi="Arial" w:cs="Arial"/>
          <w:szCs w:val="24"/>
        </w:rPr>
        <w:t xml:space="preserve">o art. 4º da </w:t>
      </w:r>
      <w:r w:rsidR="00234172" w:rsidRPr="00234172">
        <w:rPr>
          <w:rFonts w:ascii="Arial" w:hAnsi="Arial" w:cs="Arial"/>
          <w:szCs w:val="24"/>
        </w:rPr>
        <w:t>Emenda Constitucional nº 106</w:t>
      </w:r>
      <w:r>
        <w:rPr>
          <w:rFonts w:ascii="Arial" w:hAnsi="Arial" w:cs="Arial"/>
          <w:szCs w:val="24"/>
        </w:rPr>
        <w:t>/</w:t>
      </w:r>
      <w:r w:rsidR="00234172" w:rsidRPr="00234172">
        <w:rPr>
          <w:rFonts w:ascii="Arial" w:hAnsi="Arial" w:cs="Arial"/>
          <w:szCs w:val="24"/>
        </w:rPr>
        <w:t xml:space="preserve">2020, que institui </w:t>
      </w:r>
      <w:r>
        <w:rPr>
          <w:rFonts w:ascii="Arial" w:hAnsi="Arial" w:cs="Arial"/>
          <w:szCs w:val="24"/>
        </w:rPr>
        <w:t xml:space="preserve">o </w:t>
      </w:r>
      <w:r w:rsidR="00234172" w:rsidRPr="00234172">
        <w:rPr>
          <w:rFonts w:ascii="Arial" w:hAnsi="Arial" w:cs="Arial"/>
          <w:szCs w:val="24"/>
        </w:rPr>
        <w:t xml:space="preserve">regime extraordinário fiscal, financeiro e de contratações para enfrentamento de calamidade pública nacional decorrente de pandemia, dispensou, durante o exercício </w:t>
      </w:r>
      <w:r w:rsidR="00234172" w:rsidRPr="00234172">
        <w:rPr>
          <w:rFonts w:ascii="Arial" w:hAnsi="Arial" w:cs="Arial"/>
          <w:szCs w:val="24"/>
        </w:rPr>
        <w:lastRenderedPageBreak/>
        <w:t>financeiro em que vigore a calamidade, a observância da vedação inserta no inciso III do caput do art. 167 da Constituição Federal</w:t>
      </w:r>
      <w:r w:rsidR="00234172" w:rsidRPr="00234172">
        <w:rPr>
          <w:rStyle w:val="Refdenotaderodap"/>
          <w:rFonts w:ascii="Arial" w:hAnsi="Arial" w:cs="Arial"/>
          <w:szCs w:val="24"/>
        </w:rPr>
        <w:footnoteReference w:id="1"/>
      </w:r>
      <w:r w:rsidR="0034397D">
        <w:rPr>
          <w:rFonts w:ascii="Arial" w:hAnsi="Arial" w:cs="Arial"/>
          <w:szCs w:val="24"/>
        </w:rPr>
        <w:t xml:space="preserve">, </w:t>
      </w:r>
      <w:r w:rsidR="008D7B91">
        <w:rPr>
          <w:rFonts w:ascii="Arial" w:hAnsi="Arial" w:cs="Arial"/>
          <w:szCs w:val="24"/>
        </w:rPr>
        <w:t xml:space="preserve">a chamada “regra de ouro”. </w:t>
      </w:r>
      <w:r w:rsidR="0034397D">
        <w:rPr>
          <w:rFonts w:ascii="Arial" w:hAnsi="Arial" w:cs="Arial"/>
          <w:color w:val="000000"/>
          <w:szCs w:val="24"/>
        </w:rPr>
        <w:t>Tal regra</w:t>
      </w:r>
      <w:r w:rsidR="008D7B91" w:rsidRPr="008D7B91">
        <w:rPr>
          <w:rFonts w:ascii="Arial" w:hAnsi="Arial" w:cs="Arial"/>
          <w:szCs w:val="24"/>
        </w:rPr>
        <w:t xml:space="preserve"> proíbe </w:t>
      </w:r>
      <w:r w:rsidR="008D7B91" w:rsidRPr="008D7B91">
        <w:rPr>
          <w:rFonts w:ascii="Arial" w:hAnsi="Arial" w:cs="Arial"/>
          <w:color w:val="000000"/>
          <w:szCs w:val="24"/>
          <w:shd w:val="clear" w:color="auto" w:fill="FFFFFF"/>
        </w:rPr>
        <w:t>a realização de operações de créditos que excedam o montante das despesas de capital, ressalvadas as autorizadas mediante créditos suplementares ou especiais com finalidade precisa, aprovados pelo Poder Legislativo por maioria absoluta</w:t>
      </w:r>
      <w:r w:rsidR="008D7B91">
        <w:rPr>
          <w:rFonts w:ascii="Arial" w:hAnsi="Arial" w:cs="Arial"/>
          <w:color w:val="000000"/>
          <w:szCs w:val="24"/>
          <w:shd w:val="clear" w:color="auto" w:fill="FFFFFF"/>
        </w:rPr>
        <w:t>.</w:t>
      </w:r>
    </w:p>
    <w:p w:rsidR="006D6FBD" w:rsidRPr="00234172" w:rsidRDefault="006D6FBD" w:rsidP="006D6FBD">
      <w:pPr>
        <w:pStyle w:val="Recuodecorpodetexto2"/>
        <w:spacing w:line="360" w:lineRule="auto"/>
        <w:ind w:left="0" w:firstLine="1134"/>
        <w:jc w:val="both"/>
        <w:rPr>
          <w:rFonts w:ascii="Arial" w:hAnsi="Arial" w:cs="Arial"/>
          <w:sz w:val="24"/>
          <w:szCs w:val="24"/>
        </w:rPr>
      </w:pPr>
      <w:r>
        <w:rPr>
          <w:rFonts w:ascii="Arial" w:hAnsi="Arial" w:cs="Arial"/>
          <w:sz w:val="24"/>
          <w:szCs w:val="24"/>
        </w:rPr>
        <w:t>Além disso, a</w:t>
      </w:r>
      <w:r w:rsidRPr="00234172">
        <w:rPr>
          <w:rFonts w:ascii="Arial" w:hAnsi="Arial" w:cs="Arial"/>
          <w:sz w:val="24"/>
          <w:szCs w:val="24"/>
        </w:rPr>
        <w:t xml:space="preserve"> MPV em análise está em consonância com o Novo Regime Fiscal, estabelecido pela Emenda Constitucional nº 95, de 2016</w:t>
      </w:r>
      <w:r w:rsidRPr="006D6FBD">
        <w:rPr>
          <w:rFonts w:ascii="Arial" w:hAnsi="Arial" w:cs="Arial"/>
          <w:sz w:val="24"/>
          <w:szCs w:val="24"/>
        </w:rPr>
        <w:t>. Embora a Medida promova aumento em despesas primárias, os créditos extraordinários não se incluem na</w:t>
      </w:r>
      <w:r w:rsidRPr="00234172">
        <w:rPr>
          <w:rFonts w:ascii="Arial" w:hAnsi="Arial" w:cs="Arial"/>
          <w:sz w:val="24"/>
          <w:szCs w:val="24"/>
        </w:rPr>
        <w:t xml:space="preserve"> base de cálculo e nos limites estabelecidos pelo Teto de Gastos, nos termos do art. 107, § 6º, inciso II, do Ato das Disposições Constitucionais Transitórias.</w:t>
      </w:r>
    </w:p>
    <w:p w:rsidR="00A90F74" w:rsidRDefault="00234172" w:rsidP="006D6FBD">
      <w:pPr>
        <w:pStyle w:val="Recuodecorpodetexto2"/>
        <w:spacing w:line="360" w:lineRule="auto"/>
        <w:ind w:left="0" w:firstLine="1134"/>
        <w:jc w:val="both"/>
        <w:rPr>
          <w:rFonts w:ascii="Arial" w:hAnsi="Arial" w:cs="Arial"/>
          <w:sz w:val="24"/>
          <w:szCs w:val="24"/>
        </w:rPr>
      </w:pPr>
      <w:r w:rsidRPr="00234172">
        <w:rPr>
          <w:rFonts w:ascii="Arial" w:hAnsi="Arial" w:cs="Arial"/>
          <w:sz w:val="24"/>
          <w:szCs w:val="24"/>
        </w:rPr>
        <w:t>Por fim, aponte-se que a abertura do presente crédito está de acordo com as demais normas que regem a matéria, em especial Lei</w:t>
      </w:r>
      <w:r w:rsidR="006D6FBD">
        <w:rPr>
          <w:rFonts w:ascii="Arial" w:hAnsi="Arial" w:cs="Arial"/>
          <w:sz w:val="24"/>
          <w:szCs w:val="24"/>
        </w:rPr>
        <w:t xml:space="preserve"> de Responsabilidade Fiscal, a L</w:t>
      </w:r>
      <w:r w:rsidRPr="00234172">
        <w:rPr>
          <w:rFonts w:ascii="Arial" w:hAnsi="Arial" w:cs="Arial"/>
          <w:sz w:val="24"/>
          <w:szCs w:val="24"/>
        </w:rPr>
        <w:t xml:space="preserve">ei do </w:t>
      </w:r>
      <w:r w:rsidR="006D6FBD">
        <w:rPr>
          <w:rFonts w:ascii="Arial" w:hAnsi="Arial" w:cs="Arial"/>
          <w:sz w:val="24"/>
          <w:szCs w:val="24"/>
        </w:rPr>
        <w:t>Plano Plurianual, a Lei de Diretrizes Orçamentárias e a Lei Orçamentária Anual.</w:t>
      </w:r>
    </w:p>
    <w:p w:rsidR="00A90F74" w:rsidRDefault="00A90F74" w:rsidP="00A90F74">
      <w:pPr>
        <w:spacing w:line="360" w:lineRule="auto"/>
        <w:ind w:firstLine="1134"/>
        <w:jc w:val="both"/>
        <w:rPr>
          <w:rFonts w:ascii="Arial" w:hAnsi="Arial" w:cs="Arial"/>
          <w:sz w:val="24"/>
          <w:szCs w:val="24"/>
        </w:rPr>
      </w:pPr>
    </w:p>
    <w:p w:rsidR="00A90F74" w:rsidRDefault="00A90F74" w:rsidP="00A90F74">
      <w:pPr>
        <w:spacing w:before="240" w:after="240" w:line="360" w:lineRule="auto"/>
        <w:jc w:val="both"/>
        <w:rPr>
          <w:rFonts w:ascii="Arial" w:eastAsia="Calibri" w:hAnsi="Arial" w:cs="Arial"/>
          <w:b/>
          <w:bCs/>
          <w:sz w:val="24"/>
          <w:szCs w:val="19"/>
        </w:rPr>
      </w:pPr>
      <w:r>
        <w:rPr>
          <w:rFonts w:ascii="Arial" w:eastAsia="Calibri" w:hAnsi="Arial" w:cs="Arial"/>
          <w:b/>
          <w:bCs/>
          <w:sz w:val="24"/>
          <w:szCs w:val="19"/>
        </w:rPr>
        <w:t>V - CONCLUSÃO</w:t>
      </w:r>
      <w:r w:rsidRPr="002E0E32">
        <w:rPr>
          <w:rFonts w:ascii="Arial" w:eastAsia="Calibri" w:hAnsi="Arial" w:cs="Arial"/>
          <w:b/>
          <w:bCs/>
          <w:sz w:val="24"/>
          <w:szCs w:val="19"/>
        </w:rPr>
        <w:t xml:space="preserve"> </w:t>
      </w:r>
    </w:p>
    <w:p w:rsidR="00B7054E" w:rsidRPr="00B7054E" w:rsidRDefault="00B7054E" w:rsidP="00B7054E">
      <w:pPr>
        <w:spacing w:before="240" w:after="240" w:line="360" w:lineRule="auto"/>
        <w:ind w:firstLine="1134"/>
        <w:jc w:val="both"/>
        <w:rPr>
          <w:rFonts w:ascii="Arial" w:eastAsia="Calibri" w:hAnsi="Arial" w:cs="Arial"/>
          <w:b/>
          <w:bCs/>
          <w:sz w:val="24"/>
          <w:szCs w:val="24"/>
        </w:rPr>
      </w:pPr>
      <w:r w:rsidRPr="00B7054E">
        <w:rPr>
          <w:rFonts w:ascii="Arial" w:hAnsi="Arial" w:cs="Arial"/>
          <w:color w:val="000000" w:themeColor="text1"/>
          <w:sz w:val="24"/>
          <w:szCs w:val="24"/>
        </w:rPr>
        <w:t>Diante das informações aqui expostas, entendemos que a Medida Provisória n° 1.011</w:t>
      </w:r>
      <w:r>
        <w:rPr>
          <w:rFonts w:ascii="Arial" w:hAnsi="Arial" w:cs="Arial"/>
          <w:color w:val="000000" w:themeColor="text1"/>
          <w:sz w:val="24"/>
          <w:szCs w:val="24"/>
        </w:rPr>
        <w:t xml:space="preserve">, </w:t>
      </w:r>
      <w:r>
        <w:rPr>
          <w:rFonts w:ascii="Arial" w:hAnsi="Arial" w:cs="Arial"/>
          <w:sz w:val="24"/>
          <w:szCs w:val="24"/>
        </w:rPr>
        <w:t xml:space="preserve">de </w:t>
      </w:r>
      <w:r w:rsidRPr="00975394">
        <w:rPr>
          <w:rFonts w:ascii="Arial" w:hAnsi="Arial" w:cs="Arial"/>
          <w:sz w:val="24"/>
          <w:szCs w:val="24"/>
        </w:rPr>
        <w:t>25</w:t>
      </w:r>
      <w:r>
        <w:rPr>
          <w:rFonts w:ascii="Arial" w:hAnsi="Arial" w:cs="Arial"/>
          <w:sz w:val="24"/>
          <w:szCs w:val="24"/>
        </w:rPr>
        <w:t xml:space="preserve"> de novembro de </w:t>
      </w:r>
      <w:r w:rsidRPr="00975394">
        <w:rPr>
          <w:rFonts w:ascii="Arial" w:hAnsi="Arial" w:cs="Arial"/>
          <w:sz w:val="24"/>
          <w:szCs w:val="24"/>
        </w:rPr>
        <w:t>2020</w:t>
      </w:r>
      <w:r>
        <w:rPr>
          <w:rFonts w:ascii="Arial" w:hAnsi="Arial" w:cs="Arial"/>
          <w:sz w:val="24"/>
          <w:szCs w:val="24"/>
        </w:rPr>
        <w:t>,</w:t>
      </w:r>
      <w:r w:rsidRPr="00B7054E">
        <w:rPr>
          <w:rFonts w:ascii="Arial" w:hAnsi="Arial" w:cs="Arial"/>
          <w:color w:val="000000" w:themeColor="text1"/>
          <w:sz w:val="24"/>
          <w:szCs w:val="24"/>
        </w:rPr>
        <w:t xml:space="preserve"> atende a legislação aplicável sob o ponto de vista da adequação orçamentária e financeira</w:t>
      </w:r>
      <w:r>
        <w:rPr>
          <w:rFonts w:ascii="Arial" w:hAnsi="Arial" w:cs="Arial"/>
          <w:color w:val="000000" w:themeColor="text1"/>
          <w:sz w:val="24"/>
          <w:szCs w:val="24"/>
        </w:rPr>
        <w:t>.</w:t>
      </w:r>
    </w:p>
    <w:p w:rsidR="00A90F74" w:rsidRPr="002E0E32" w:rsidRDefault="00A90F74" w:rsidP="00B7054E">
      <w:pPr>
        <w:spacing w:after="120" w:line="360" w:lineRule="auto"/>
        <w:ind w:firstLine="1134"/>
        <w:jc w:val="both"/>
        <w:rPr>
          <w:rFonts w:ascii="Arial" w:eastAsia="Calibri" w:hAnsi="Arial" w:cs="Courier New"/>
          <w:sz w:val="24"/>
        </w:rPr>
      </w:pPr>
      <w:r w:rsidRPr="002E0E32">
        <w:rPr>
          <w:rFonts w:ascii="Arial" w:eastAsia="Calibri" w:hAnsi="Arial" w:cs="Courier New"/>
          <w:sz w:val="24"/>
        </w:rPr>
        <w:t xml:space="preserve">São esses os subsídios considerados relevantes para a apreciação da Medida Provisória nº </w:t>
      </w:r>
      <w:r w:rsidR="006D6FBD">
        <w:rPr>
          <w:rFonts w:ascii="Arial" w:hAnsi="Arial" w:cs="Arial"/>
          <w:sz w:val="24"/>
          <w:szCs w:val="24"/>
        </w:rPr>
        <w:t>1.011</w:t>
      </w:r>
      <w:r w:rsidR="00B7054E">
        <w:rPr>
          <w:rFonts w:ascii="Arial" w:hAnsi="Arial" w:cs="Arial"/>
          <w:sz w:val="24"/>
          <w:szCs w:val="24"/>
        </w:rPr>
        <w:t>/2020</w:t>
      </w:r>
      <w:proofErr w:type="gramStart"/>
      <w:r w:rsidR="00B7054E">
        <w:rPr>
          <w:rFonts w:ascii="Arial" w:hAnsi="Arial" w:cs="Arial"/>
          <w:sz w:val="24"/>
          <w:szCs w:val="24"/>
        </w:rPr>
        <w:t xml:space="preserve"> </w:t>
      </w:r>
      <w:r w:rsidRPr="002E0E32">
        <w:rPr>
          <w:rFonts w:ascii="Arial" w:eastAsia="Calibri" w:hAnsi="Arial" w:cs="Courier New"/>
          <w:sz w:val="24"/>
        </w:rPr>
        <w:t xml:space="preserve"> </w:t>
      </w:r>
      <w:proofErr w:type="gramEnd"/>
      <w:r w:rsidRPr="002E0E32">
        <w:rPr>
          <w:rFonts w:ascii="Arial" w:eastAsia="Calibri" w:hAnsi="Arial" w:cs="Courier New"/>
          <w:sz w:val="24"/>
        </w:rPr>
        <w:t>quanto à adequação orçamentária e financeira.</w:t>
      </w:r>
    </w:p>
    <w:p w:rsidR="00DB0B61" w:rsidRDefault="00B7054E" w:rsidP="00DB0B61">
      <w:pPr>
        <w:spacing w:line="360" w:lineRule="auto"/>
        <w:jc w:val="right"/>
        <w:rPr>
          <w:rFonts w:ascii="Arial" w:hAnsi="Arial" w:cs="Arial"/>
          <w:sz w:val="24"/>
          <w:szCs w:val="24"/>
        </w:rPr>
      </w:pPr>
      <w:r>
        <w:rPr>
          <w:rFonts w:ascii="Arial" w:hAnsi="Arial" w:cs="Arial"/>
          <w:sz w:val="24"/>
          <w:szCs w:val="24"/>
        </w:rPr>
        <w:t>Brasília,</w:t>
      </w:r>
      <w:r w:rsidR="006D6FBD">
        <w:rPr>
          <w:rFonts w:ascii="Arial" w:hAnsi="Arial" w:cs="Arial"/>
          <w:sz w:val="24"/>
          <w:szCs w:val="24"/>
        </w:rPr>
        <w:t xml:space="preserve"> 30 </w:t>
      </w:r>
      <w:r w:rsidR="00DB0B61">
        <w:rPr>
          <w:rFonts w:ascii="Arial" w:hAnsi="Arial" w:cs="Arial"/>
          <w:sz w:val="24"/>
          <w:szCs w:val="24"/>
        </w:rPr>
        <w:t xml:space="preserve">de </w:t>
      </w:r>
      <w:r w:rsidR="006D6FBD">
        <w:rPr>
          <w:rFonts w:ascii="Arial" w:hAnsi="Arial" w:cs="Arial"/>
          <w:sz w:val="24"/>
          <w:szCs w:val="24"/>
        </w:rPr>
        <w:t>novembro</w:t>
      </w:r>
      <w:r w:rsidR="00DB0B61">
        <w:rPr>
          <w:rFonts w:ascii="Arial" w:hAnsi="Arial" w:cs="Arial"/>
          <w:sz w:val="24"/>
          <w:szCs w:val="24"/>
        </w:rPr>
        <w:t xml:space="preserve"> de </w:t>
      </w:r>
      <w:r w:rsidR="001B5529" w:rsidRPr="003C6904">
        <w:rPr>
          <w:rFonts w:ascii="Arial" w:hAnsi="Arial" w:cs="Arial"/>
          <w:sz w:val="24"/>
          <w:szCs w:val="24"/>
        </w:rPr>
        <w:t>2020</w:t>
      </w:r>
      <w:r w:rsidR="00DB0B61">
        <w:rPr>
          <w:rFonts w:ascii="Arial" w:hAnsi="Arial" w:cs="Arial"/>
          <w:sz w:val="24"/>
          <w:szCs w:val="24"/>
        </w:rPr>
        <w:t>.</w:t>
      </w:r>
    </w:p>
    <w:p w:rsidR="006D6FBD" w:rsidRDefault="006D6FBD" w:rsidP="00DB0B61">
      <w:pPr>
        <w:spacing w:line="360" w:lineRule="auto"/>
        <w:jc w:val="right"/>
        <w:rPr>
          <w:rFonts w:ascii="Arial" w:hAnsi="Arial" w:cs="Arial"/>
          <w:sz w:val="24"/>
          <w:szCs w:val="24"/>
        </w:rPr>
      </w:pPr>
    </w:p>
    <w:p w:rsidR="001B5529" w:rsidRDefault="001B5529" w:rsidP="001B5529">
      <w:pPr>
        <w:spacing w:line="360" w:lineRule="auto"/>
        <w:jc w:val="center"/>
        <w:rPr>
          <w:rFonts w:ascii="Arial" w:hAnsi="Arial" w:cs="Arial"/>
          <w:b/>
          <w:sz w:val="24"/>
          <w:szCs w:val="24"/>
        </w:rPr>
      </w:pPr>
      <w:proofErr w:type="spellStart"/>
      <w:r w:rsidRPr="00100EF1">
        <w:rPr>
          <w:rFonts w:ascii="Arial" w:hAnsi="Arial" w:cs="Arial"/>
          <w:b/>
          <w:sz w:val="24"/>
          <w:szCs w:val="24"/>
        </w:rPr>
        <w:t>Elis</w:t>
      </w:r>
      <w:r w:rsidR="00A80E5A">
        <w:rPr>
          <w:rFonts w:ascii="Arial" w:hAnsi="Arial" w:cs="Arial"/>
          <w:b/>
          <w:sz w:val="24"/>
          <w:szCs w:val="24"/>
        </w:rPr>
        <w:t>angela</w:t>
      </w:r>
      <w:proofErr w:type="spellEnd"/>
      <w:r w:rsidR="00A80E5A">
        <w:rPr>
          <w:rFonts w:ascii="Arial" w:hAnsi="Arial" w:cs="Arial"/>
          <w:b/>
          <w:sz w:val="24"/>
          <w:szCs w:val="24"/>
        </w:rPr>
        <w:t xml:space="preserve"> Moreira da Silva Batista</w:t>
      </w:r>
    </w:p>
    <w:p w:rsidR="00DB0B61" w:rsidRPr="00E018C9" w:rsidRDefault="004E64C1" w:rsidP="00DB0B61">
      <w:pPr>
        <w:spacing w:line="360" w:lineRule="auto"/>
        <w:jc w:val="center"/>
        <w:rPr>
          <w:rFonts w:ascii="Arial" w:hAnsi="Arial" w:cs="Arial"/>
          <w:sz w:val="24"/>
          <w:szCs w:val="24"/>
        </w:rPr>
      </w:pPr>
      <w:r>
        <w:rPr>
          <w:rFonts w:ascii="Arial" w:hAnsi="Arial" w:cs="Arial"/>
          <w:sz w:val="24"/>
          <w:szCs w:val="24"/>
        </w:rPr>
        <w:t>Consultor</w:t>
      </w:r>
      <w:r w:rsidRPr="006530F6">
        <w:rPr>
          <w:rFonts w:ascii="Arial" w:hAnsi="Arial" w:cs="Arial"/>
          <w:sz w:val="24"/>
          <w:szCs w:val="24"/>
        </w:rPr>
        <w:t>ia</w:t>
      </w:r>
      <w:r w:rsidR="00DB0B61">
        <w:rPr>
          <w:rFonts w:ascii="Arial" w:hAnsi="Arial" w:cs="Arial"/>
          <w:sz w:val="24"/>
          <w:szCs w:val="24"/>
        </w:rPr>
        <w:t xml:space="preserve"> de </w:t>
      </w:r>
      <w:r w:rsidR="00DB0B61" w:rsidRPr="006530F6">
        <w:rPr>
          <w:rFonts w:ascii="Arial" w:hAnsi="Arial" w:cs="Arial"/>
          <w:sz w:val="24"/>
          <w:szCs w:val="24"/>
        </w:rPr>
        <w:t>Orça</w:t>
      </w:r>
      <w:r w:rsidR="008C5D83" w:rsidRPr="006530F6">
        <w:rPr>
          <w:rFonts w:ascii="Arial" w:hAnsi="Arial" w:cs="Arial"/>
          <w:sz w:val="24"/>
          <w:szCs w:val="24"/>
        </w:rPr>
        <w:t>mento</w:t>
      </w:r>
      <w:r w:rsidR="008C5D83">
        <w:rPr>
          <w:rFonts w:ascii="Arial" w:hAnsi="Arial" w:cs="Arial"/>
          <w:sz w:val="24"/>
          <w:szCs w:val="24"/>
        </w:rPr>
        <w:t xml:space="preserve"> e Fiscalização Financeira</w:t>
      </w:r>
    </w:p>
    <w:sectPr w:rsidR="00DB0B61" w:rsidRPr="00E018C9" w:rsidSect="00FB35B5">
      <w:headerReference w:type="default" r:id="rId7"/>
      <w:footerReference w:type="default" r:id="rId8"/>
      <w:pgSz w:w="11906" w:h="16838"/>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2DA3" w:rsidRDefault="00582DA3" w:rsidP="004C3E6F">
      <w:pPr>
        <w:spacing w:after="0" w:line="240" w:lineRule="auto"/>
      </w:pPr>
      <w:r>
        <w:separator/>
      </w:r>
    </w:p>
  </w:endnote>
  <w:endnote w:type="continuationSeparator" w:id="0">
    <w:p w:rsidR="00582DA3" w:rsidRDefault="00582DA3" w:rsidP="004C3E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bertus Medium">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6357563"/>
      <w:docPartObj>
        <w:docPartGallery w:val="Page Numbers (Bottom of Page)"/>
        <w:docPartUnique/>
      </w:docPartObj>
    </w:sdtPr>
    <w:sdtContent>
      <w:p w:rsidR="008D7B91" w:rsidRDefault="0091769E">
        <w:pPr>
          <w:pStyle w:val="Rodap"/>
          <w:jc w:val="right"/>
        </w:pPr>
        <w:fldSimple w:instr=" PAGE   \* MERGEFORMAT ">
          <w:r w:rsidR="00700FFE">
            <w:rPr>
              <w:noProof/>
            </w:rPr>
            <w:t>5</w:t>
          </w:r>
        </w:fldSimple>
      </w:p>
    </w:sdtContent>
  </w:sdt>
  <w:p w:rsidR="008D7B91" w:rsidRDefault="008D7B9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2DA3" w:rsidRDefault="00582DA3" w:rsidP="004C3E6F">
      <w:pPr>
        <w:spacing w:after="0" w:line="240" w:lineRule="auto"/>
      </w:pPr>
      <w:r>
        <w:separator/>
      </w:r>
    </w:p>
  </w:footnote>
  <w:footnote w:type="continuationSeparator" w:id="0">
    <w:p w:rsidR="00582DA3" w:rsidRDefault="00582DA3" w:rsidP="004C3E6F">
      <w:pPr>
        <w:spacing w:after="0" w:line="240" w:lineRule="auto"/>
      </w:pPr>
      <w:r>
        <w:continuationSeparator/>
      </w:r>
    </w:p>
  </w:footnote>
  <w:footnote w:id="1">
    <w:p w:rsidR="00234172" w:rsidRDefault="00234172" w:rsidP="00234172">
      <w:pPr>
        <w:pStyle w:val="Textodenotaderodap"/>
        <w:jc w:val="both"/>
      </w:pPr>
      <w:r>
        <w:rPr>
          <w:rStyle w:val="Refdenotaderodap"/>
        </w:rPr>
        <w:footnoteRef/>
      </w:r>
      <w:r>
        <w:t xml:space="preserve"> </w:t>
      </w:r>
      <w:proofErr w:type="gramStart"/>
      <w:r>
        <w:t>“</w:t>
      </w:r>
      <w:r w:rsidRPr="00DF628B">
        <w:t>Art. 167</w:t>
      </w:r>
      <w:r w:rsidRPr="00CC1F0D">
        <w:t>.</w:t>
      </w:r>
      <w:proofErr w:type="gramEnd"/>
      <w:r>
        <w:t xml:space="preserve"> São vedados:</w:t>
      </w:r>
    </w:p>
    <w:p w:rsidR="00234172" w:rsidRDefault="00234172" w:rsidP="00234172">
      <w:pPr>
        <w:pStyle w:val="Textodenotaderodap"/>
        <w:jc w:val="both"/>
      </w:pPr>
      <w:r>
        <w:t>...</w:t>
      </w:r>
    </w:p>
    <w:p w:rsidR="00234172" w:rsidRDefault="00234172" w:rsidP="00234172">
      <w:pPr>
        <w:pStyle w:val="Textodenotaderodap"/>
        <w:jc w:val="both"/>
      </w:pPr>
      <w:proofErr w:type="gramStart"/>
      <w:r w:rsidRPr="00306368">
        <w:t>III - a realização de operações de créditos que excedam o montante das despesas de capital, ressalvadas as autorizadas mediante créditos suplementares ou especiais com finalidade precisa, aprovados pelo Poder Legislativo por maioria absoluta;</w:t>
      </w:r>
      <w:r>
        <w:t>”</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DA3" w:rsidRDefault="0091769E">
    <w:pPr>
      <w:pStyle w:val="Cabealho"/>
    </w:pPr>
    <w:r>
      <w:rPr>
        <w:noProof/>
        <w:lang w:eastAsia="pt-BR"/>
      </w:rPr>
      <w:pict>
        <v:shapetype id="_x0000_t202" coordsize="21600,21600" o:spt="202" path="m,l,21600r21600,l21600,xe">
          <v:stroke joinstyle="miter"/>
          <v:path gradientshapeok="t" o:connecttype="rect"/>
        </v:shapetype>
        <v:shape id="Text Box 1" o:spid="_x0000_s2049" type="#_x0000_t202" style="position:absolute;margin-left:65.4pt;margin-top:-.95pt;width:410.4pt;height:64.8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allowincell="f" stroked="f">
          <v:textbox>
            <w:txbxContent>
              <w:p w:rsidR="00582DA3" w:rsidRPr="00ED1F11" w:rsidRDefault="00582DA3" w:rsidP="008C5D83">
                <w:pPr>
                  <w:pStyle w:val="Cabealho"/>
                  <w:rPr>
                    <w:rFonts w:ascii="Arial" w:hAnsi="Arial" w:cs="Arial"/>
                    <w:b/>
                    <w:color w:val="000000"/>
                  </w:rPr>
                </w:pPr>
                <w:r>
                  <w:rPr>
                    <w:rFonts w:ascii="Arial" w:hAnsi="Arial" w:cs="Arial"/>
                    <w:b/>
                    <w:color w:val="000000"/>
                    <w:sz w:val="28"/>
                  </w:rPr>
                  <w:t>CÂMARA DOS DEPUTADOS</w:t>
                </w:r>
              </w:p>
              <w:p w:rsidR="00582DA3" w:rsidRPr="00ED1F11" w:rsidRDefault="00582DA3" w:rsidP="008C5D83">
                <w:pPr>
                  <w:pStyle w:val="Cabealho"/>
                  <w:rPr>
                    <w:rFonts w:ascii="Arial" w:hAnsi="Arial" w:cs="Arial"/>
                    <w:b/>
                  </w:rPr>
                </w:pPr>
                <w:r w:rsidRPr="00ED1F11">
                  <w:rPr>
                    <w:rFonts w:ascii="Arial" w:hAnsi="Arial" w:cs="Arial"/>
                    <w:b/>
                  </w:rPr>
                  <w:t xml:space="preserve">CONSULTORIA DE ORÇAMENTO E FISCALIZAÇÃO FINANCEIRA </w:t>
                </w:r>
              </w:p>
            </w:txbxContent>
          </v:textbox>
        </v:shape>
      </w:pict>
    </w:r>
    <w:r w:rsidR="00582DA3">
      <w:rPr>
        <w:noProof/>
        <w:lang w:eastAsia="pt-BR"/>
      </w:rPr>
      <w:drawing>
        <wp:inline distT="0" distB="0" distL="0" distR="0">
          <wp:extent cx="723900" cy="714375"/>
          <wp:effectExtent l="19050" t="0" r="0" b="0"/>
          <wp:docPr id="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723900" cy="714375"/>
                  </a:xfrm>
                  <a:prstGeom prst="rect">
                    <a:avLst/>
                  </a:prstGeom>
                  <a:noFill/>
                  <a:ln w="9525">
                    <a:noFill/>
                    <a:miter lim="800000"/>
                    <a:headEnd/>
                    <a:tailEnd/>
                  </a:ln>
                </pic:spPr>
              </pic:pic>
            </a:graphicData>
          </a:graphic>
        </wp:inline>
      </w:drawing>
    </w:r>
  </w:p>
  <w:p w:rsidR="00582DA3" w:rsidRDefault="00582DA3">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124938"/>
    <w:rsid w:val="000210A0"/>
    <w:rsid w:val="00027BC6"/>
    <w:rsid w:val="00037627"/>
    <w:rsid w:val="00053FDC"/>
    <w:rsid w:val="00060C8B"/>
    <w:rsid w:val="000B24BE"/>
    <w:rsid w:val="000B5F52"/>
    <w:rsid w:val="000C4553"/>
    <w:rsid w:val="000E77FA"/>
    <w:rsid w:val="00120314"/>
    <w:rsid w:val="00124938"/>
    <w:rsid w:val="00145FF3"/>
    <w:rsid w:val="001B5529"/>
    <w:rsid w:val="001F03B6"/>
    <w:rsid w:val="00220736"/>
    <w:rsid w:val="00222317"/>
    <w:rsid w:val="0022617D"/>
    <w:rsid w:val="00234172"/>
    <w:rsid w:val="002463B4"/>
    <w:rsid w:val="002A74A1"/>
    <w:rsid w:val="002A76CB"/>
    <w:rsid w:val="002B3DD8"/>
    <w:rsid w:val="002C0183"/>
    <w:rsid w:val="002C1F7F"/>
    <w:rsid w:val="002C5B31"/>
    <w:rsid w:val="002C7CE3"/>
    <w:rsid w:val="002D4976"/>
    <w:rsid w:val="002E0F8D"/>
    <w:rsid w:val="0031208A"/>
    <w:rsid w:val="00324390"/>
    <w:rsid w:val="0034397D"/>
    <w:rsid w:val="00351A1D"/>
    <w:rsid w:val="00364535"/>
    <w:rsid w:val="00391376"/>
    <w:rsid w:val="003959E1"/>
    <w:rsid w:val="00397BDE"/>
    <w:rsid w:val="003C73B9"/>
    <w:rsid w:val="003D7AE3"/>
    <w:rsid w:val="003F3435"/>
    <w:rsid w:val="003F4726"/>
    <w:rsid w:val="004017F1"/>
    <w:rsid w:val="0042537B"/>
    <w:rsid w:val="00434DC1"/>
    <w:rsid w:val="004463E6"/>
    <w:rsid w:val="00452187"/>
    <w:rsid w:val="00481EE1"/>
    <w:rsid w:val="00497A81"/>
    <w:rsid w:val="004C3E6F"/>
    <w:rsid w:val="004C5DA3"/>
    <w:rsid w:val="004E64C1"/>
    <w:rsid w:val="00534F01"/>
    <w:rsid w:val="00553B2E"/>
    <w:rsid w:val="00553C2D"/>
    <w:rsid w:val="00582DA3"/>
    <w:rsid w:val="00584E2C"/>
    <w:rsid w:val="00596788"/>
    <w:rsid w:val="005B16EE"/>
    <w:rsid w:val="005D5882"/>
    <w:rsid w:val="006069BB"/>
    <w:rsid w:val="0064267B"/>
    <w:rsid w:val="00652838"/>
    <w:rsid w:val="006530F6"/>
    <w:rsid w:val="006724BF"/>
    <w:rsid w:val="006D6FBD"/>
    <w:rsid w:val="006E652F"/>
    <w:rsid w:val="006F7E39"/>
    <w:rsid w:val="00700FFE"/>
    <w:rsid w:val="007015C3"/>
    <w:rsid w:val="007332EA"/>
    <w:rsid w:val="007375DB"/>
    <w:rsid w:val="00754224"/>
    <w:rsid w:val="00755F3B"/>
    <w:rsid w:val="007850B3"/>
    <w:rsid w:val="007B1BD4"/>
    <w:rsid w:val="007F5078"/>
    <w:rsid w:val="00866CA1"/>
    <w:rsid w:val="008C5D83"/>
    <w:rsid w:val="008C68D5"/>
    <w:rsid w:val="008D7B91"/>
    <w:rsid w:val="0090767F"/>
    <w:rsid w:val="0091769E"/>
    <w:rsid w:val="00951902"/>
    <w:rsid w:val="00986180"/>
    <w:rsid w:val="00995F94"/>
    <w:rsid w:val="009A55F7"/>
    <w:rsid w:val="009C74DE"/>
    <w:rsid w:val="00A02E92"/>
    <w:rsid w:val="00A13DAB"/>
    <w:rsid w:val="00A40535"/>
    <w:rsid w:val="00A46AFF"/>
    <w:rsid w:val="00A51AC6"/>
    <w:rsid w:val="00A80E5A"/>
    <w:rsid w:val="00A90F74"/>
    <w:rsid w:val="00AD04EC"/>
    <w:rsid w:val="00AF363B"/>
    <w:rsid w:val="00AF3F9E"/>
    <w:rsid w:val="00B022DD"/>
    <w:rsid w:val="00B102C1"/>
    <w:rsid w:val="00B22E53"/>
    <w:rsid w:val="00B6241D"/>
    <w:rsid w:val="00B7054E"/>
    <w:rsid w:val="00B843D6"/>
    <w:rsid w:val="00BA6934"/>
    <w:rsid w:val="00BB3CB9"/>
    <w:rsid w:val="00BB6EE1"/>
    <w:rsid w:val="00BD22C1"/>
    <w:rsid w:val="00BF4D44"/>
    <w:rsid w:val="00C03207"/>
    <w:rsid w:val="00C82435"/>
    <w:rsid w:val="00C86BF3"/>
    <w:rsid w:val="00C94D41"/>
    <w:rsid w:val="00C9778A"/>
    <w:rsid w:val="00CA789D"/>
    <w:rsid w:val="00CB293D"/>
    <w:rsid w:val="00DB0B61"/>
    <w:rsid w:val="00DE43AE"/>
    <w:rsid w:val="00DF4753"/>
    <w:rsid w:val="00E018C9"/>
    <w:rsid w:val="00E52E57"/>
    <w:rsid w:val="00E54974"/>
    <w:rsid w:val="00E70AD9"/>
    <w:rsid w:val="00EB0208"/>
    <w:rsid w:val="00EF43AA"/>
    <w:rsid w:val="00F03A22"/>
    <w:rsid w:val="00F10205"/>
    <w:rsid w:val="00F3024F"/>
    <w:rsid w:val="00FB35B5"/>
    <w:rsid w:val="00FD274F"/>
    <w:rsid w:val="00FE611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67B"/>
  </w:style>
  <w:style w:type="paragraph" w:styleId="Ttulo7">
    <w:name w:val="heading 7"/>
    <w:basedOn w:val="Normal"/>
    <w:next w:val="Normal"/>
    <w:link w:val="Ttulo7Char"/>
    <w:uiPriority w:val="99"/>
    <w:qFormat/>
    <w:rsid w:val="00DB0B61"/>
    <w:pPr>
      <w:keepNext/>
      <w:framePr w:w="6917" w:h="794" w:hSpace="142" w:wrap="around" w:vAnchor="page" w:hAnchor="page" w:x="3176" w:y="579"/>
      <w:pBdr>
        <w:bottom w:val="single" w:sz="6" w:space="1" w:color="auto"/>
      </w:pBdr>
      <w:spacing w:after="0" w:line="240" w:lineRule="auto"/>
      <w:ind w:left="340"/>
      <w:outlineLvl w:val="6"/>
    </w:pPr>
    <w:rPr>
      <w:rFonts w:ascii="Albertus Medium" w:eastAsia="Times New Roman" w:hAnsi="Albertus Medium"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C3E6F"/>
    <w:rPr>
      <w:color w:val="0000FF" w:themeColor="hyperlink"/>
      <w:u w:val="single"/>
    </w:rPr>
  </w:style>
  <w:style w:type="paragraph" w:styleId="Textodenotaderodap">
    <w:name w:val="footnote text"/>
    <w:basedOn w:val="Normal"/>
    <w:link w:val="TextodenotaderodapChar"/>
    <w:uiPriority w:val="99"/>
    <w:unhideWhenUsed/>
    <w:qFormat/>
    <w:rsid w:val="004C3E6F"/>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4C3E6F"/>
    <w:rPr>
      <w:sz w:val="20"/>
      <w:szCs w:val="20"/>
    </w:rPr>
  </w:style>
  <w:style w:type="character" w:styleId="Refdenotaderodap">
    <w:name w:val="footnote reference"/>
    <w:basedOn w:val="Fontepargpadro"/>
    <w:unhideWhenUsed/>
    <w:rsid w:val="004C3E6F"/>
    <w:rPr>
      <w:vertAlign w:val="superscript"/>
    </w:rPr>
  </w:style>
  <w:style w:type="paragraph" w:styleId="Cabealho">
    <w:name w:val="header"/>
    <w:basedOn w:val="Normal"/>
    <w:link w:val="CabealhoChar"/>
    <w:semiHidden/>
    <w:unhideWhenUsed/>
    <w:rsid w:val="00DB0B61"/>
    <w:pPr>
      <w:tabs>
        <w:tab w:val="center" w:pos="4252"/>
        <w:tab w:val="right" w:pos="8504"/>
      </w:tabs>
      <w:spacing w:after="0" w:line="240" w:lineRule="auto"/>
    </w:pPr>
  </w:style>
  <w:style w:type="character" w:customStyle="1" w:styleId="CabealhoChar">
    <w:name w:val="Cabeçalho Char"/>
    <w:basedOn w:val="Fontepargpadro"/>
    <w:link w:val="Cabealho"/>
    <w:semiHidden/>
    <w:rsid w:val="00DB0B61"/>
  </w:style>
  <w:style w:type="paragraph" w:styleId="Rodap">
    <w:name w:val="footer"/>
    <w:basedOn w:val="Normal"/>
    <w:link w:val="RodapChar"/>
    <w:uiPriority w:val="99"/>
    <w:unhideWhenUsed/>
    <w:rsid w:val="00DB0B61"/>
    <w:pPr>
      <w:tabs>
        <w:tab w:val="center" w:pos="4252"/>
        <w:tab w:val="right" w:pos="8504"/>
      </w:tabs>
      <w:spacing w:after="0" w:line="240" w:lineRule="auto"/>
    </w:pPr>
  </w:style>
  <w:style w:type="character" w:customStyle="1" w:styleId="RodapChar">
    <w:name w:val="Rodapé Char"/>
    <w:basedOn w:val="Fontepargpadro"/>
    <w:link w:val="Rodap"/>
    <w:uiPriority w:val="99"/>
    <w:rsid w:val="00DB0B61"/>
  </w:style>
  <w:style w:type="paragraph" w:styleId="Textodebalo">
    <w:name w:val="Balloon Text"/>
    <w:basedOn w:val="Normal"/>
    <w:link w:val="TextodebaloChar"/>
    <w:uiPriority w:val="99"/>
    <w:semiHidden/>
    <w:unhideWhenUsed/>
    <w:rsid w:val="00DB0B6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B0B61"/>
    <w:rPr>
      <w:rFonts w:ascii="Tahoma" w:hAnsi="Tahoma" w:cs="Tahoma"/>
      <w:sz w:val="16"/>
      <w:szCs w:val="16"/>
    </w:rPr>
  </w:style>
  <w:style w:type="character" w:customStyle="1" w:styleId="Ttulo7Char">
    <w:name w:val="Título 7 Char"/>
    <w:basedOn w:val="Fontepargpadro"/>
    <w:link w:val="Ttulo7"/>
    <w:uiPriority w:val="99"/>
    <w:rsid w:val="00DB0B61"/>
    <w:rPr>
      <w:rFonts w:ascii="Albertus Medium" w:eastAsia="Times New Roman" w:hAnsi="Albertus Medium" w:cs="Times New Roman"/>
      <w:b/>
      <w:sz w:val="24"/>
      <w:szCs w:val="20"/>
      <w:lang w:eastAsia="pt-BR"/>
    </w:rPr>
  </w:style>
  <w:style w:type="paragraph" w:styleId="Legenda">
    <w:name w:val="caption"/>
    <w:basedOn w:val="Normal"/>
    <w:next w:val="Normal"/>
    <w:uiPriority w:val="99"/>
    <w:qFormat/>
    <w:rsid w:val="00DB0B61"/>
    <w:pPr>
      <w:framePr w:w="6917" w:h="794" w:hSpace="142" w:wrap="around" w:vAnchor="page" w:hAnchor="page" w:x="3176" w:y="579"/>
      <w:pBdr>
        <w:bottom w:val="single" w:sz="6" w:space="1" w:color="auto"/>
      </w:pBdr>
      <w:spacing w:after="0" w:line="360" w:lineRule="auto"/>
      <w:ind w:left="340"/>
    </w:pPr>
    <w:rPr>
      <w:rFonts w:ascii="Albertus Medium" w:eastAsia="Times New Roman" w:hAnsi="Albertus Medium" w:cs="Times New Roman"/>
      <w:b/>
      <w:sz w:val="20"/>
      <w:szCs w:val="20"/>
      <w:lang w:eastAsia="pt-BR"/>
    </w:rPr>
  </w:style>
  <w:style w:type="paragraph" w:styleId="Corpodetexto">
    <w:name w:val="Body Text"/>
    <w:basedOn w:val="Normal"/>
    <w:link w:val="CorpodetextoChar"/>
    <w:semiHidden/>
    <w:rsid w:val="005B16EE"/>
    <w:pPr>
      <w:spacing w:after="0" w:line="24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semiHidden/>
    <w:rsid w:val="005B16EE"/>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unhideWhenUsed/>
    <w:rsid w:val="00A90F74"/>
    <w:pPr>
      <w:spacing w:after="120" w:line="480" w:lineRule="auto"/>
      <w:ind w:left="283"/>
    </w:pPr>
  </w:style>
  <w:style w:type="character" w:customStyle="1" w:styleId="Recuodecorpodetexto2Char">
    <w:name w:val="Recuo de corpo de texto 2 Char"/>
    <w:basedOn w:val="Fontepargpadro"/>
    <w:link w:val="Recuodecorpodetexto2"/>
    <w:uiPriority w:val="99"/>
    <w:rsid w:val="00A90F7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91C72-527C-4235-A771-DA99F889C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5</Pages>
  <Words>1503</Words>
  <Characters>8121</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MOD.CONOF.ST 1271/2020 - P_6431 - Elisangela Moreira da Silva Batista</dc:creator>
  <cp:lastModifiedBy>Marcos</cp:lastModifiedBy>
  <cp:revision>10</cp:revision>
  <cp:lastPrinted>2020-11-30T16:09:00Z</cp:lastPrinted>
  <dcterms:created xsi:type="dcterms:W3CDTF">2020-11-26T22:41:00Z</dcterms:created>
  <dcterms:modified xsi:type="dcterms:W3CDTF">2020-11-30T16:14:00Z</dcterms:modified>
</cp:coreProperties>
</file>