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4AE73" w14:textId="309A049B" w:rsidR="00427363" w:rsidRDefault="00427363" w:rsidP="009E3723">
      <w:pPr>
        <w:spacing w:after="120"/>
        <w:rPr>
          <w:rFonts w:ascii="Arial" w:hAnsi="Arial" w:cs="Arial"/>
          <w:color w:val="FF0000"/>
          <w:sz w:val="24"/>
          <w:szCs w:val="24"/>
        </w:rPr>
      </w:pPr>
      <w:bookmarkStart w:id="0" w:name="_GoBack"/>
      <w:bookmarkEnd w:id="0"/>
      <w:r w:rsidRPr="00171ABC">
        <w:rPr>
          <w:rFonts w:ascii="Arial" w:hAnsi="Arial" w:cs="Arial"/>
          <w:b/>
          <w:sz w:val="28"/>
          <w:szCs w:val="28"/>
        </w:rPr>
        <w:t>N</w:t>
      </w:r>
      <w:r w:rsidR="004F6863">
        <w:rPr>
          <w:rFonts w:ascii="Arial" w:hAnsi="Arial" w:cs="Arial"/>
          <w:b/>
          <w:sz w:val="28"/>
          <w:szCs w:val="28"/>
        </w:rPr>
        <w:t>ota Técnica de Adequação Orçamentária</w:t>
      </w:r>
      <w:r w:rsidR="00AB3679">
        <w:rPr>
          <w:rFonts w:ascii="Arial" w:hAnsi="Arial" w:cs="Arial"/>
          <w:b/>
          <w:sz w:val="28"/>
          <w:szCs w:val="28"/>
        </w:rPr>
        <w:t xml:space="preserve"> e Financeira</w:t>
      </w:r>
      <w:r w:rsidR="004F6863">
        <w:rPr>
          <w:rFonts w:ascii="Arial" w:hAnsi="Arial" w:cs="Arial"/>
          <w:b/>
          <w:sz w:val="28"/>
          <w:szCs w:val="28"/>
        </w:rPr>
        <w:t xml:space="preserve"> </w:t>
      </w:r>
      <w:r w:rsidR="004F6863" w:rsidRPr="004F1EE5">
        <w:rPr>
          <w:rFonts w:ascii="Arial" w:hAnsi="Arial" w:cs="Arial"/>
          <w:b/>
          <w:sz w:val="28"/>
          <w:szCs w:val="28"/>
        </w:rPr>
        <w:t xml:space="preserve">nº </w:t>
      </w:r>
      <w:r w:rsidR="00313138">
        <w:rPr>
          <w:rFonts w:ascii="Arial" w:hAnsi="Arial" w:cs="Arial"/>
          <w:b/>
          <w:sz w:val="28"/>
          <w:szCs w:val="28"/>
        </w:rPr>
        <w:t>28</w:t>
      </w:r>
      <w:r w:rsidRPr="004F1EE5">
        <w:rPr>
          <w:rFonts w:ascii="Arial" w:hAnsi="Arial" w:cs="Arial"/>
          <w:b/>
          <w:sz w:val="28"/>
          <w:szCs w:val="28"/>
        </w:rPr>
        <w:t>/20</w:t>
      </w:r>
      <w:r w:rsidR="004F1EE5" w:rsidRPr="004F1EE5">
        <w:rPr>
          <w:rFonts w:ascii="Arial" w:hAnsi="Arial" w:cs="Arial"/>
          <w:b/>
          <w:sz w:val="28"/>
          <w:szCs w:val="28"/>
        </w:rPr>
        <w:t>21</w:t>
      </w:r>
      <w:r w:rsidR="00227DE4">
        <w:rPr>
          <w:rFonts w:ascii="Arial" w:hAnsi="Arial" w:cs="Arial"/>
          <w:b/>
          <w:sz w:val="28"/>
          <w:szCs w:val="28"/>
        </w:rPr>
        <w:t>.</w:t>
      </w:r>
      <w:r w:rsidR="004F6863">
        <w:rPr>
          <w:rFonts w:ascii="Arial" w:hAnsi="Arial" w:cs="Arial"/>
          <w:b/>
          <w:sz w:val="28"/>
          <w:szCs w:val="28"/>
        </w:rPr>
        <w:t xml:space="preserve"> </w:t>
      </w:r>
    </w:p>
    <w:p w14:paraId="020F4971" w14:textId="77777777" w:rsidR="004F1EE5" w:rsidRPr="00D56C54" w:rsidRDefault="004F1EE5" w:rsidP="009E3723">
      <w:pPr>
        <w:spacing w:after="120"/>
        <w:rPr>
          <w:rFonts w:ascii="Arial" w:hAnsi="Arial" w:cs="Arial"/>
          <w:color w:val="FF0000"/>
          <w:sz w:val="24"/>
          <w:szCs w:val="24"/>
        </w:rPr>
      </w:pPr>
    </w:p>
    <w:p w14:paraId="1EC5561C" w14:textId="5FA7915F" w:rsidR="00427363" w:rsidRPr="00171ABC" w:rsidRDefault="00C66E43" w:rsidP="009E3723">
      <w:pPr>
        <w:spacing w:after="120"/>
        <w:jc w:val="right"/>
        <w:rPr>
          <w:rFonts w:ascii="Arial" w:hAnsi="Arial" w:cs="Arial"/>
          <w:sz w:val="22"/>
          <w:szCs w:val="22"/>
        </w:rPr>
      </w:pPr>
      <w:r w:rsidRPr="004F1EE5">
        <w:rPr>
          <w:rFonts w:ascii="Arial" w:hAnsi="Arial" w:cs="Arial"/>
          <w:sz w:val="22"/>
          <w:szCs w:val="22"/>
        </w:rPr>
        <w:t xml:space="preserve">Em </w:t>
      </w:r>
      <w:r w:rsidR="00313138">
        <w:rPr>
          <w:rFonts w:ascii="Arial" w:hAnsi="Arial" w:cs="Arial"/>
          <w:sz w:val="22"/>
          <w:szCs w:val="22"/>
        </w:rPr>
        <w:t>12</w:t>
      </w:r>
      <w:r w:rsidR="00427363" w:rsidRPr="004F1EE5">
        <w:rPr>
          <w:rFonts w:ascii="Arial" w:hAnsi="Arial" w:cs="Arial"/>
          <w:sz w:val="22"/>
          <w:szCs w:val="22"/>
        </w:rPr>
        <w:t xml:space="preserve"> de </w:t>
      </w:r>
      <w:r w:rsidR="00313138">
        <w:rPr>
          <w:rFonts w:ascii="Arial" w:hAnsi="Arial" w:cs="Arial"/>
          <w:sz w:val="22"/>
          <w:szCs w:val="22"/>
        </w:rPr>
        <w:t>maio</w:t>
      </w:r>
      <w:r w:rsidR="00427363" w:rsidRPr="004F1EE5">
        <w:rPr>
          <w:rFonts w:ascii="Arial" w:hAnsi="Arial" w:cs="Arial"/>
          <w:sz w:val="22"/>
          <w:szCs w:val="22"/>
        </w:rPr>
        <w:t xml:space="preserve"> de 20</w:t>
      </w:r>
      <w:r w:rsidR="004F1EE5" w:rsidRPr="004F1EE5">
        <w:rPr>
          <w:rFonts w:ascii="Arial" w:hAnsi="Arial" w:cs="Arial"/>
          <w:sz w:val="22"/>
          <w:szCs w:val="22"/>
        </w:rPr>
        <w:t>21</w:t>
      </w:r>
      <w:r w:rsidR="00427363" w:rsidRPr="004F1EE5">
        <w:rPr>
          <w:rFonts w:ascii="Arial" w:hAnsi="Arial" w:cs="Arial"/>
          <w:sz w:val="22"/>
          <w:szCs w:val="22"/>
        </w:rPr>
        <w:t>.</w:t>
      </w:r>
    </w:p>
    <w:p w14:paraId="13852BF8" w14:textId="77777777" w:rsidR="00427363" w:rsidRPr="00171ABC" w:rsidRDefault="00427363" w:rsidP="009E3723">
      <w:pPr>
        <w:tabs>
          <w:tab w:val="left" w:pos="2295"/>
        </w:tabs>
        <w:spacing w:after="120"/>
        <w:rPr>
          <w:rFonts w:ascii="Arial" w:hAnsi="Arial" w:cs="Arial"/>
          <w:sz w:val="24"/>
          <w:szCs w:val="24"/>
        </w:rPr>
      </w:pPr>
      <w:r w:rsidRPr="00171ABC">
        <w:rPr>
          <w:rFonts w:ascii="Arial" w:hAnsi="Arial" w:cs="Arial"/>
          <w:sz w:val="24"/>
          <w:szCs w:val="24"/>
        </w:rPr>
        <w:tab/>
      </w:r>
    </w:p>
    <w:p w14:paraId="76F47A9E" w14:textId="71ED3753" w:rsidR="00427363" w:rsidRPr="000D663E" w:rsidRDefault="00427363" w:rsidP="001C69EE">
      <w:pPr>
        <w:spacing w:after="240"/>
        <w:ind w:left="3402"/>
        <w:jc w:val="both"/>
        <w:rPr>
          <w:rFonts w:ascii="Arial" w:hAnsi="Arial" w:cs="Arial"/>
          <w:sz w:val="24"/>
          <w:szCs w:val="24"/>
        </w:rPr>
      </w:pPr>
      <w:r w:rsidRPr="00171ABC">
        <w:rPr>
          <w:rFonts w:ascii="Arial" w:hAnsi="Arial" w:cs="Arial"/>
          <w:b/>
          <w:sz w:val="24"/>
          <w:szCs w:val="24"/>
        </w:rPr>
        <w:t>Assunto:</w:t>
      </w:r>
      <w:r w:rsidRPr="00171ABC">
        <w:rPr>
          <w:rFonts w:ascii="Arial" w:hAnsi="Arial" w:cs="Arial"/>
          <w:sz w:val="24"/>
          <w:szCs w:val="24"/>
        </w:rPr>
        <w:t xml:space="preserve"> </w:t>
      </w:r>
      <w:r w:rsidR="0004570B">
        <w:rPr>
          <w:rFonts w:ascii="Arial" w:hAnsi="Arial" w:cs="Arial"/>
          <w:sz w:val="24"/>
          <w:szCs w:val="24"/>
        </w:rPr>
        <w:t xml:space="preserve">subsídios para análise da adequação orçamentária e financeira da Medida Provisória nº </w:t>
      </w:r>
      <w:r w:rsidR="00313138">
        <w:rPr>
          <w:rFonts w:ascii="Arial" w:hAnsi="Arial" w:cs="Arial"/>
          <w:sz w:val="24"/>
          <w:szCs w:val="24"/>
        </w:rPr>
        <w:t>1.048</w:t>
      </w:r>
      <w:r w:rsidR="0004570B">
        <w:rPr>
          <w:rFonts w:ascii="Arial" w:hAnsi="Arial" w:cs="Arial"/>
          <w:sz w:val="24"/>
          <w:szCs w:val="24"/>
        </w:rPr>
        <w:t xml:space="preserve">, de </w:t>
      </w:r>
      <w:r w:rsidR="004F1EE5">
        <w:rPr>
          <w:rFonts w:ascii="Arial" w:hAnsi="Arial" w:cs="Arial"/>
          <w:sz w:val="24"/>
          <w:szCs w:val="24"/>
        </w:rPr>
        <w:t>1</w:t>
      </w:r>
      <w:r w:rsidR="002770E9">
        <w:rPr>
          <w:rFonts w:ascii="Arial" w:hAnsi="Arial" w:cs="Arial"/>
          <w:sz w:val="24"/>
          <w:szCs w:val="24"/>
        </w:rPr>
        <w:t>0</w:t>
      </w:r>
      <w:r w:rsidR="0004570B">
        <w:rPr>
          <w:rFonts w:ascii="Arial" w:hAnsi="Arial" w:cs="Arial"/>
          <w:sz w:val="24"/>
          <w:szCs w:val="24"/>
        </w:rPr>
        <w:t xml:space="preserve"> de </w:t>
      </w:r>
      <w:r w:rsidR="002770E9">
        <w:rPr>
          <w:rFonts w:ascii="Arial" w:hAnsi="Arial" w:cs="Arial"/>
          <w:sz w:val="24"/>
          <w:szCs w:val="24"/>
        </w:rPr>
        <w:t xml:space="preserve">maio </w:t>
      </w:r>
      <w:r w:rsidR="004F1EE5">
        <w:rPr>
          <w:rFonts w:ascii="Arial" w:hAnsi="Arial" w:cs="Arial"/>
          <w:sz w:val="24"/>
          <w:szCs w:val="24"/>
        </w:rPr>
        <w:t>de 2021</w:t>
      </w:r>
      <w:r w:rsidR="0004570B">
        <w:rPr>
          <w:rFonts w:ascii="Arial" w:hAnsi="Arial" w:cs="Arial"/>
          <w:sz w:val="24"/>
          <w:szCs w:val="24"/>
        </w:rPr>
        <w:t xml:space="preserve">, que </w:t>
      </w:r>
      <w:r w:rsidR="00980D45" w:rsidRPr="004F1EE5">
        <w:rPr>
          <w:rFonts w:ascii="Arial" w:hAnsi="Arial" w:cs="Arial"/>
          <w:sz w:val="24"/>
          <w:szCs w:val="24"/>
        </w:rPr>
        <w:t>“</w:t>
      </w:r>
      <w:r w:rsidR="004F1EE5" w:rsidRPr="004F1EE5">
        <w:rPr>
          <w:rFonts w:ascii="Arial" w:hAnsi="Arial" w:cs="Arial"/>
          <w:i/>
          <w:sz w:val="24"/>
          <w:szCs w:val="24"/>
        </w:rPr>
        <w:t>Abre crédito extraordinário, em favor do Mini</w:t>
      </w:r>
      <w:r w:rsidR="00313138">
        <w:rPr>
          <w:rFonts w:ascii="Arial" w:hAnsi="Arial" w:cs="Arial"/>
          <w:i/>
          <w:sz w:val="24"/>
          <w:szCs w:val="24"/>
        </w:rPr>
        <w:t xml:space="preserve">stério da Saúde, no valor de R$ </w:t>
      </w:r>
      <w:r w:rsidR="00313138" w:rsidRPr="00313138">
        <w:rPr>
          <w:rFonts w:ascii="Arial" w:hAnsi="Arial" w:cs="Arial"/>
          <w:i/>
          <w:sz w:val="24"/>
          <w:szCs w:val="24"/>
        </w:rPr>
        <w:t>5.500.071.904,00</w:t>
      </w:r>
      <w:r w:rsidR="004F1EE5" w:rsidRPr="004F1EE5">
        <w:rPr>
          <w:rFonts w:ascii="Arial" w:hAnsi="Arial" w:cs="Arial"/>
          <w:i/>
          <w:sz w:val="24"/>
          <w:szCs w:val="24"/>
        </w:rPr>
        <w:t>, para os fins que especifica.</w:t>
      </w:r>
      <w:r w:rsidR="00980D45" w:rsidRPr="004F1EE5">
        <w:rPr>
          <w:rFonts w:ascii="Arial" w:hAnsi="Arial" w:cs="Arial"/>
          <w:sz w:val="24"/>
          <w:szCs w:val="24"/>
        </w:rPr>
        <w:t>”</w:t>
      </w:r>
      <w:r w:rsidR="00980D45" w:rsidRPr="004F6863">
        <w:rPr>
          <w:rFonts w:ascii="Arial" w:hAnsi="Arial" w:cs="Arial"/>
          <w:sz w:val="24"/>
        </w:rPr>
        <w:t xml:space="preserve"> </w:t>
      </w:r>
    </w:p>
    <w:p w14:paraId="7CF628A6" w14:textId="11AC2485" w:rsidR="00D56C54" w:rsidRPr="00D56C54" w:rsidRDefault="00D56C54" w:rsidP="00D56C54">
      <w:pPr>
        <w:pStyle w:val="Ttulo3"/>
        <w:spacing w:after="720"/>
        <w:ind w:left="3540"/>
        <w:jc w:val="both"/>
        <w:rPr>
          <w:b w:val="0"/>
          <w:bCs w:val="0"/>
          <w:color w:val="FF0000"/>
          <w:sz w:val="24"/>
          <w:szCs w:val="24"/>
        </w:rPr>
      </w:pPr>
      <w:r w:rsidRPr="003D1810">
        <w:rPr>
          <w:bCs w:val="0"/>
          <w:sz w:val="24"/>
          <w:szCs w:val="24"/>
        </w:rPr>
        <w:t>Interessad</w:t>
      </w:r>
      <w:r w:rsidR="00604893">
        <w:rPr>
          <w:bCs w:val="0"/>
          <w:sz w:val="24"/>
          <w:szCs w:val="24"/>
        </w:rPr>
        <w:t>os</w:t>
      </w:r>
      <w:r w:rsidRPr="003D1810">
        <w:rPr>
          <w:bCs w:val="0"/>
          <w:sz w:val="24"/>
          <w:szCs w:val="24"/>
        </w:rPr>
        <w:t>:</w:t>
      </w:r>
      <w:r w:rsidRPr="00171ABC">
        <w:rPr>
          <w:bCs w:val="0"/>
          <w:sz w:val="24"/>
          <w:szCs w:val="24"/>
        </w:rPr>
        <w:t xml:space="preserve"> </w:t>
      </w:r>
      <w:r w:rsidRPr="00D56C54">
        <w:rPr>
          <w:b w:val="0"/>
          <w:sz w:val="24"/>
          <w:szCs w:val="24"/>
        </w:rPr>
        <w:t>Plenários da Câmara dos Deputados e do Senado Federal.</w:t>
      </w:r>
      <w:r w:rsidRPr="00D56C54">
        <w:rPr>
          <w:rFonts w:cs="Times New Roman"/>
          <w:b w:val="0"/>
          <w:bCs w:val="0"/>
          <w:color w:val="FF0000"/>
          <w:sz w:val="24"/>
          <w:szCs w:val="24"/>
        </w:rPr>
        <w:t xml:space="preserve"> </w:t>
      </w:r>
    </w:p>
    <w:p w14:paraId="10DE6B54" w14:textId="77777777" w:rsidR="00D56C54" w:rsidRPr="00D56C54" w:rsidRDefault="00D56C54" w:rsidP="00D56C54"/>
    <w:p w14:paraId="7AF6E04C" w14:textId="77777777" w:rsidR="004F6863" w:rsidRDefault="00427363" w:rsidP="000D663E">
      <w:pPr>
        <w:pStyle w:val="Ttulo1"/>
        <w:spacing w:after="240"/>
        <w:jc w:val="both"/>
        <w:rPr>
          <w:sz w:val="24"/>
          <w:szCs w:val="19"/>
        </w:rPr>
      </w:pPr>
      <w:r w:rsidRPr="00171ABC">
        <w:rPr>
          <w:sz w:val="24"/>
          <w:szCs w:val="19"/>
        </w:rPr>
        <w:t>1</w:t>
      </w:r>
      <w:r w:rsidRPr="00171ABC">
        <w:rPr>
          <w:sz w:val="24"/>
          <w:szCs w:val="19"/>
        </w:rPr>
        <w:tab/>
      </w:r>
      <w:r w:rsidR="00EE252A">
        <w:rPr>
          <w:sz w:val="24"/>
          <w:szCs w:val="19"/>
        </w:rPr>
        <w:t>Introdução</w:t>
      </w:r>
      <w:r w:rsidRPr="00171ABC">
        <w:rPr>
          <w:sz w:val="24"/>
          <w:szCs w:val="19"/>
        </w:rPr>
        <w:t xml:space="preserve"> </w:t>
      </w:r>
    </w:p>
    <w:p w14:paraId="19D7E376" w14:textId="77777777" w:rsidR="00E72A8B" w:rsidRPr="00E72A8B" w:rsidRDefault="00E72A8B" w:rsidP="00E72A8B">
      <w:pPr>
        <w:spacing w:after="120" w:line="360" w:lineRule="auto"/>
        <w:ind w:firstLine="708"/>
        <w:jc w:val="both"/>
        <w:rPr>
          <w:rFonts w:ascii="Arial" w:hAnsi="Arial" w:cs="Arial"/>
          <w:sz w:val="24"/>
          <w:szCs w:val="24"/>
        </w:rPr>
      </w:pPr>
      <w:r w:rsidRPr="00E72A8B">
        <w:rPr>
          <w:rFonts w:ascii="Arial" w:hAnsi="Arial" w:cs="Arial"/>
          <w:sz w:val="24"/>
          <w:szCs w:val="24"/>
        </w:rPr>
        <w:t>A presente nota técnica atende à determinação constante do art. 19 da Resolução nº 1, de 2002-CN, que estabelece:</w:t>
      </w:r>
    </w:p>
    <w:p w14:paraId="0A3DD573" w14:textId="77777777" w:rsidR="00E72A8B" w:rsidRPr="001B50FF" w:rsidRDefault="00E72A8B" w:rsidP="009777B5">
      <w:pPr>
        <w:spacing w:after="120"/>
        <w:ind w:left="2310"/>
        <w:jc w:val="both"/>
        <w:rPr>
          <w:rFonts w:ascii="Arial" w:hAnsi="Arial" w:cs="Arial"/>
          <w:iCs/>
          <w:sz w:val="22"/>
          <w:szCs w:val="22"/>
        </w:rPr>
      </w:pPr>
      <w:r w:rsidRPr="001B50FF">
        <w:rPr>
          <w:rFonts w:ascii="Arial" w:hAnsi="Arial" w:cs="Arial"/>
          <w:iCs/>
          <w:sz w:val="22"/>
          <w:szCs w:val="22"/>
        </w:rPr>
        <w:t xml:space="preserve">Art. 19. O órgão de consultoria e assessoramento orçamentário da Casa a que pertencer o Relator da Medida Provisória encaminhará aos Relatores e à Comissão, no prazo de 5 (cinco) dias de sua publicação, nota técnica com subsídios </w:t>
      </w:r>
      <w:r w:rsidRPr="001B50FF">
        <w:rPr>
          <w:rFonts w:ascii="Arial" w:hAnsi="Arial" w:cs="Arial"/>
          <w:iCs/>
          <w:sz w:val="22"/>
          <w:szCs w:val="22"/>
        </w:rPr>
        <w:lastRenderedPageBreak/>
        <w:t>acerca da adequação financeira e orçame</w:t>
      </w:r>
      <w:r w:rsidR="001B50FF">
        <w:rPr>
          <w:rFonts w:ascii="Arial" w:hAnsi="Arial" w:cs="Arial"/>
          <w:iCs/>
          <w:sz w:val="22"/>
          <w:szCs w:val="22"/>
        </w:rPr>
        <w:t>ntária de Medida Provisória</w:t>
      </w:r>
      <w:r w:rsidRPr="001B50FF">
        <w:rPr>
          <w:rFonts w:ascii="Arial" w:hAnsi="Arial" w:cs="Arial"/>
          <w:iCs/>
          <w:sz w:val="22"/>
          <w:szCs w:val="22"/>
        </w:rPr>
        <w:t>.</w:t>
      </w:r>
    </w:p>
    <w:p w14:paraId="01325D5F" w14:textId="1E387831" w:rsidR="00E72A8B" w:rsidRDefault="00E72A8B" w:rsidP="00E72A8B">
      <w:pPr>
        <w:pStyle w:val="Recuodecorpodetexto2"/>
        <w:spacing w:after="120" w:line="360" w:lineRule="auto"/>
        <w:rPr>
          <w:rFonts w:ascii="Arial" w:hAnsi="Arial" w:cs="Arial"/>
          <w:b w:val="0"/>
          <w:color w:val="auto"/>
          <w:szCs w:val="24"/>
        </w:rPr>
      </w:pPr>
      <w:r w:rsidRPr="00E72A8B">
        <w:rPr>
          <w:rFonts w:ascii="Arial" w:hAnsi="Arial" w:cs="Arial"/>
          <w:b w:val="0"/>
          <w:color w:val="auto"/>
          <w:szCs w:val="24"/>
        </w:rPr>
        <w:t>No art. 62, § 9º, a Constituição Federal determina que caberá a uma comissão mista de Deputados e Senadores examinar as medidas provisórias e sobre elas emitir parecer, antes de serem apreciadas, em sessões separadas, pelo Plenário de cada uma das Casas do Congresso Nacional.</w:t>
      </w:r>
    </w:p>
    <w:p w14:paraId="5E79A641" w14:textId="3B6A547E" w:rsidR="00604893" w:rsidRPr="00E72A8B" w:rsidRDefault="004F1EE5" w:rsidP="00604893">
      <w:pPr>
        <w:spacing w:after="120" w:line="360" w:lineRule="auto"/>
        <w:ind w:firstLine="708"/>
        <w:jc w:val="both"/>
        <w:rPr>
          <w:rFonts w:ascii="Arial" w:hAnsi="Arial" w:cs="Arial"/>
          <w:sz w:val="24"/>
          <w:szCs w:val="24"/>
        </w:rPr>
      </w:pPr>
      <w:r>
        <w:rPr>
          <w:rFonts w:ascii="Arial" w:hAnsi="Arial" w:cs="Arial"/>
          <w:sz w:val="24"/>
          <w:szCs w:val="24"/>
        </w:rPr>
        <w:t xml:space="preserve">No entanto, </w:t>
      </w:r>
      <w:r w:rsidR="00604893" w:rsidRPr="0010354E">
        <w:rPr>
          <w:rFonts w:ascii="Arial" w:hAnsi="Arial" w:cs="Arial"/>
          <w:sz w:val="24"/>
          <w:szCs w:val="24"/>
        </w:rPr>
        <w:t>durante a vigência da emergência em saúde pública e do estado de calamidade pública decorrente da pandemia da Covid-19, a tramitação e a forma de apreciação das medidas provisórias foram modificadas, por meio do Ato Conjunto das Mesas da Câmara dos Deputados e do Senado Federal nº 1, de 2020. Os prazos regimentais foram encurtados de forma significativa, sendo as medidas provisórias instruídas perante o Plenário da Câmara dos Deputados e do Senado Federal, ficando excepcionalmente autorizada a emissão de parecer em substituição à comissão mista por parlamentar de cada uma das Casas designado na forma regimental.</w:t>
      </w:r>
    </w:p>
    <w:p w14:paraId="7336EFC6" w14:textId="51507387" w:rsidR="00E72A8B" w:rsidRPr="00E72A8B" w:rsidRDefault="00B71A20" w:rsidP="000D663E">
      <w:pPr>
        <w:spacing w:after="120" w:line="360" w:lineRule="auto"/>
        <w:ind w:firstLine="708"/>
        <w:jc w:val="both"/>
        <w:rPr>
          <w:rFonts w:ascii="Arial" w:hAnsi="Arial" w:cs="Arial"/>
          <w:sz w:val="24"/>
          <w:szCs w:val="24"/>
        </w:rPr>
      </w:pPr>
      <w:r>
        <w:rPr>
          <w:rFonts w:ascii="Arial" w:hAnsi="Arial" w:cs="Arial"/>
          <w:sz w:val="24"/>
          <w:szCs w:val="24"/>
        </w:rPr>
        <w:t>Quanto ao conteúdo, a</w:t>
      </w:r>
      <w:r w:rsidR="00E72A8B" w:rsidRPr="00E72A8B">
        <w:rPr>
          <w:rFonts w:ascii="Arial" w:hAnsi="Arial" w:cs="Arial"/>
          <w:sz w:val="24"/>
          <w:szCs w:val="24"/>
        </w:rPr>
        <w:t xml:space="preserve"> nota técnica deve atender ao disposto no art. 5º, § 1º, da </w:t>
      </w:r>
      <w:r w:rsidR="002229FF">
        <w:rPr>
          <w:rFonts w:ascii="Arial" w:hAnsi="Arial" w:cs="Arial"/>
          <w:sz w:val="24"/>
          <w:szCs w:val="24"/>
        </w:rPr>
        <w:t>R</w:t>
      </w:r>
      <w:r w:rsidR="00E72A8B" w:rsidRPr="00E72A8B">
        <w:rPr>
          <w:rFonts w:ascii="Arial" w:hAnsi="Arial" w:cs="Arial"/>
          <w:sz w:val="24"/>
          <w:szCs w:val="24"/>
        </w:rPr>
        <w:t xml:space="preserve">esolução nº 1, de 2002-CN, que prescreve os requisitos </w:t>
      </w:r>
      <w:r w:rsidR="00E72A8B" w:rsidRPr="00E72A8B">
        <w:rPr>
          <w:rFonts w:ascii="Arial" w:hAnsi="Arial" w:cs="Arial"/>
          <w:sz w:val="24"/>
          <w:szCs w:val="24"/>
        </w:rPr>
        <w:lastRenderedPageBreak/>
        <w:t>a serem abordados quando do exame de compatibilidade e adequação orçamentária e financeira: “</w:t>
      </w:r>
      <w:r w:rsidR="00E72A8B" w:rsidRPr="00E72A8B">
        <w:rPr>
          <w:rFonts w:ascii="Arial" w:hAnsi="Arial" w:cs="Arial"/>
          <w:i/>
          <w:iCs/>
          <w:sz w:val="24"/>
          <w:szCs w:val="24"/>
        </w:rPr>
        <w:t xml:space="preserve">análise da repercussão sobre a receita ou a despesa pública da União e da implicação quanto ao atendimento das normas orçamentárias e financeiras vigentes, em especial a conformidade com a Lei Complementar nº 101, de </w:t>
      </w:r>
      <w:smartTag w:uri="urn:schemas-microsoft-com:office:smarttags" w:element="metricconverter">
        <w:smartTagPr>
          <w:attr w:name="ProductID" w:val="2000, a"/>
        </w:smartTagPr>
        <w:r w:rsidR="00E72A8B" w:rsidRPr="00E72A8B">
          <w:rPr>
            <w:rFonts w:ascii="Arial" w:hAnsi="Arial" w:cs="Arial"/>
            <w:i/>
            <w:iCs/>
            <w:sz w:val="24"/>
            <w:szCs w:val="24"/>
          </w:rPr>
          <w:t>2000, a</w:t>
        </w:r>
      </w:smartTag>
      <w:r w:rsidR="00E72A8B" w:rsidRPr="00E72A8B">
        <w:rPr>
          <w:rFonts w:ascii="Arial" w:hAnsi="Arial" w:cs="Arial"/>
          <w:i/>
          <w:iCs/>
          <w:sz w:val="24"/>
          <w:szCs w:val="24"/>
        </w:rPr>
        <w:t xml:space="preserve"> lei do plano plurianual, a lei de diretrizes orçamentárias e a lei orçamentária da União</w:t>
      </w:r>
      <w:r w:rsidR="00E72A8B" w:rsidRPr="00E72A8B">
        <w:rPr>
          <w:rFonts w:ascii="Arial" w:hAnsi="Arial" w:cs="Arial"/>
          <w:sz w:val="24"/>
          <w:szCs w:val="24"/>
        </w:rPr>
        <w:t>”.</w:t>
      </w:r>
    </w:p>
    <w:p w14:paraId="1D9973DA" w14:textId="039CB03F" w:rsidR="00E72A8B" w:rsidRDefault="00E72A8B" w:rsidP="000D663E">
      <w:pPr>
        <w:spacing w:after="120" w:line="360" w:lineRule="auto"/>
        <w:ind w:firstLine="708"/>
        <w:jc w:val="both"/>
        <w:rPr>
          <w:rFonts w:ascii="Arial" w:hAnsi="Arial" w:cs="Arial"/>
          <w:sz w:val="24"/>
          <w:szCs w:val="24"/>
        </w:rPr>
      </w:pPr>
      <w:r w:rsidRPr="00E72A8B">
        <w:rPr>
          <w:rFonts w:ascii="Arial" w:hAnsi="Arial" w:cs="Arial"/>
          <w:sz w:val="24"/>
          <w:szCs w:val="24"/>
        </w:rPr>
        <w:t>Para a apreciação da medida provisória em questão compete a esta Consultoria de Orçamentos, Fiscalização e Controle elaborar a respectiva nota técnica acerca de sua adequação orçamentária e financeira.</w:t>
      </w:r>
    </w:p>
    <w:p w14:paraId="22FE4298" w14:textId="77777777" w:rsidR="00427363" w:rsidRPr="00171ABC" w:rsidRDefault="00427363" w:rsidP="000D663E">
      <w:pPr>
        <w:pStyle w:val="TextosemFormatao"/>
        <w:spacing w:before="240" w:after="240"/>
        <w:ind w:firstLine="0"/>
        <w:rPr>
          <w:rFonts w:cs="Arial"/>
          <w:b/>
          <w:bCs/>
          <w:szCs w:val="19"/>
        </w:rPr>
      </w:pPr>
      <w:r w:rsidRPr="00171ABC">
        <w:rPr>
          <w:rFonts w:cs="Arial"/>
          <w:b/>
          <w:bCs/>
          <w:szCs w:val="19"/>
        </w:rPr>
        <w:t>2</w:t>
      </w:r>
      <w:r w:rsidRPr="00171ABC">
        <w:rPr>
          <w:rFonts w:cs="Arial"/>
          <w:b/>
          <w:bCs/>
          <w:szCs w:val="19"/>
        </w:rPr>
        <w:tab/>
      </w:r>
      <w:r w:rsidR="003E499B">
        <w:rPr>
          <w:rFonts w:cs="Arial"/>
          <w:b/>
          <w:bCs/>
          <w:szCs w:val="19"/>
        </w:rPr>
        <w:t>Síntese da medida p</w:t>
      </w:r>
      <w:r w:rsidR="00584816">
        <w:rPr>
          <w:rFonts w:cs="Arial"/>
          <w:b/>
          <w:bCs/>
          <w:szCs w:val="19"/>
        </w:rPr>
        <w:t xml:space="preserve">rovisória </w:t>
      </w:r>
    </w:p>
    <w:p w14:paraId="2867463B" w14:textId="673E4457" w:rsidR="000D663E" w:rsidRDefault="00B71A20" w:rsidP="000D663E">
      <w:pPr>
        <w:pStyle w:val="TextosemFormatao"/>
        <w:spacing w:line="360" w:lineRule="auto"/>
        <w:ind w:firstLine="708"/>
      </w:pPr>
      <w:r>
        <w:t>Com esteio no</w:t>
      </w:r>
      <w:r w:rsidR="009F6FB6">
        <w:t>s</w:t>
      </w:r>
      <w:r>
        <w:t xml:space="preserve"> art</w:t>
      </w:r>
      <w:r w:rsidR="009F6FB6">
        <w:t>s</w:t>
      </w:r>
      <w:r>
        <w:t>. 62 e 163, § 3º, da Constituição Federal, o Presidente da República submete à apreciação do Congresso Nacional a Medida Provisória</w:t>
      </w:r>
      <w:r w:rsidR="00D74EDF">
        <w:t xml:space="preserve"> - MP</w:t>
      </w:r>
      <w:r w:rsidR="00466301">
        <w:t xml:space="preserve"> nº 1.048, de 10</w:t>
      </w:r>
      <w:r>
        <w:t xml:space="preserve"> de </w:t>
      </w:r>
      <w:r w:rsidR="00466301">
        <w:t>maio</w:t>
      </w:r>
      <w:r>
        <w:t xml:space="preserve"> de 2021, </w:t>
      </w:r>
      <w:r w:rsidR="00D74EDF">
        <w:t>que abre</w:t>
      </w:r>
      <w:r>
        <w:t xml:space="preserve"> crédito extraordinário, em favor do Ministério da Saúde, no valor de </w:t>
      </w:r>
      <w:r w:rsidR="00466301">
        <w:t xml:space="preserve">R$ </w:t>
      </w:r>
      <w:r w:rsidR="00466301" w:rsidRPr="00466301">
        <w:t>5.500.071.904,00.</w:t>
      </w:r>
    </w:p>
    <w:p w14:paraId="7C3F3A0D" w14:textId="35F5EF82" w:rsidR="001D10FD" w:rsidRDefault="009F6FB6" w:rsidP="000D663E">
      <w:pPr>
        <w:pStyle w:val="TextosemFormatao"/>
        <w:spacing w:line="360" w:lineRule="auto"/>
        <w:ind w:firstLine="708"/>
      </w:pPr>
      <w:r>
        <w:t xml:space="preserve">De acordo com o Anexo que acompanha </w:t>
      </w:r>
      <w:r w:rsidR="00C15BB9">
        <w:t xml:space="preserve">a </w:t>
      </w:r>
      <w:r>
        <w:t>medida legislat</w:t>
      </w:r>
      <w:r w:rsidR="00466301">
        <w:t xml:space="preserve">iva, as dotações serão alocadas na ação “20YE - Aquisição e Distribuição de Imunobiológicos e Insumos para Prevenção e Controle de Doenças”, </w:t>
      </w:r>
      <w:r w:rsidR="00466301">
        <w:lastRenderedPageBreak/>
        <w:t>sendo R$ 1.680.000.000,00 em programação da Fundação Oswaldo Cruz</w:t>
      </w:r>
      <w:r w:rsidR="007A4773">
        <w:t xml:space="preserve"> </w:t>
      </w:r>
      <w:r w:rsidR="0067202F">
        <w:t>-</w:t>
      </w:r>
      <w:r w:rsidR="007A4773">
        <w:t xml:space="preserve"> Fiocruz</w:t>
      </w:r>
      <w:r w:rsidR="002770E9">
        <w:t>,</w:t>
      </w:r>
      <w:r w:rsidR="00466301">
        <w:t xml:space="preserve"> e R$ 3.820.071.904,00 em programação do Fundo Nacional de Saúde</w:t>
      </w:r>
      <w:r w:rsidR="007A4773">
        <w:t xml:space="preserve"> - FNS</w:t>
      </w:r>
      <w:r w:rsidR="00466301">
        <w:t>.</w:t>
      </w:r>
      <w:r>
        <w:t xml:space="preserve"> </w:t>
      </w:r>
    </w:p>
    <w:p w14:paraId="5AA8AAE0" w14:textId="77777777" w:rsidR="009F6FB6" w:rsidRDefault="009F6FB6" w:rsidP="000D663E">
      <w:pPr>
        <w:pStyle w:val="TextosemFormatao"/>
        <w:spacing w:line="360" w:lineRule="auto"/>
        <w:ind w:firstLine="708"/>
      </w:pPr>
    </w:p>
    <w:p w14:paraId="4B76B378" w14:textId="77777777" w:rsidR="009F6FB6" w:rsidRDefault="009F6FB6" w:rsidP="000D663E">
      <w:pPr>
        <w:pStyle w:val="TextosemFormatao"/>
        <w:spacing w:line="360" w:lineRule="auto"/>
        <w:ind w:firstLine="708"/>
      </w:pPr>
    </w:p>
    <w:p w14:paraId="2FC6A719" w14:textId="3E71EB95" w:rsidR="00D74EDF" w:rsidRDefault="009F6FB6" w:rsidP="000D663E">
      <w:pPr>
        <w:pStyle w:val="TextosemFormatao"/>
        <w:spacing w:line="360" w:lineRule="auto"/>
        <w:ind w:firstLine="708"/>
      </w:pPr>
      <w:r>
        <w:t>A Exposição de Motivos</w:t>
      </w:r>
      <w:r w:rsidR="00466301">
        <w:t xml:space="preserve"> nº 116</w:t>
      </w:r>
      <w:r>
        <w:t xml:space="preserve">/2021 ME informa que a medida se destina ao enfrentamento da situação de </w:t>
      </w:r>
      <w:r w:rsidR="00CE71E4">
        <w:t>emergência decorrente do coronavírus (Covid-19), com vistas à realização das seguintes despesas:</w:t>
      </w:r>
    </w:p>
    <w:p w14:paraId="2B70588C" w14:textId="1E8EC90C" w:rsidR="00466301" w:rsidRDefault="007A4773" w:rsidP="00466301">
      <w:pPr>
        <w:pStyle w:val="TextosemFormatao"/>
        <w:numPr>
          <w:ilvl w:val="0"/>
          <w:numId w:val="4"/>
        </w:numPr>
        <w:spacing w:line="360" w:lineRule="auto"/>
      </w:pPr>
      <w:r>
        <w:t>na</w:t>
      </w:r>
      <w:r w:rsidR="00466301">
        <w:t xml:space="preserve"> Fiocruz, a produção, o fornecimento e a distribuição de mais 50 milhões de doses de vacina contra a Covid-19 no segundo semestre de 2021, por meio de insumo farmacêutico ativo fornecido pela empresa AstraZeneca; e</w:t>
      </w:r>
    </w:p>
    <w:p w14:paraId="20148BF8" w14:textId="2977AFBD" w:rsidR="007A4773" w:rsidRDefault="007A4773" w:rsidP="00466301">
      <w:pPr>
        <w:pStyle w:val="TextosemFormatao"/>
        <w:numPr>
          <w:ilvl w:val="0"/>
          <w:numId w:val="4"/>
        </w:numPr>
        <w:spacing w:line="360" w:lineRule="auto"/>
      </w:pPr>
      <w:r>
        <w:t>no</w:t>
      </w:r>
      <w:r w:rsidR="00466301">
        <w:t xml:space="preserve"> FNS, a aquisição de mais 100 milhões de doses de vacina e outras despesas associadas à imunização, em complemento ao crédito extraordinário referente à Medida Provisória nº 1.015, </w:t>
      </w:r>
      <w:r w:rsidR="002770E9">
        <w:t xml:space="preserve">de </w:t>
      </w:r>
      <w:r w:rsidR="00466301">
        <w:t>2020, reaberto pelo Decreto nº 10.595, de 2021.</w:t>
      </w:r>
    </w:p>
    <w:p w14:paraId="795A6AB9" w14:textId="0CF8C388" w:rsidR="00CE71E4" w:rsidRDefault="000A29F3" w:rsidP="007A4773">
      <w:pPr>
        <w:pStyle w:val="TextosemFormatao"/>
        <w:spacing w:line="360" w:lineRule="auto"/>
        <w:ind w:firstLine="708"/>
      </w:pPr>
      <w:r>
        <w:t>Rememora a Exposição de Motivos</w:t>
      </w:r>
      <w:r w:rsidR="00CE71E4" w:rsidRPr="007A4773">
        <w:t xml:space="preserve"> que, ao longo de 2020, foram editadas medidas provisórias de crédito extraordinário que destinaram </w:t>
      </w:r>
      <w:r w:rsidR="00CE71E4" w:rsidRPr="007A4773">
        <w:lastRenderedPageBreak/>
        <w:t>R$ 64,2 bilhões ao Ministério da Saúde para o enfrentam</w:t>
      </w:r>
      <w:r w:rsidR="00C15BB9" w:rsidRPr="007A4773">
        <w:t>ento da pandemia decorrente do c</w:t>
      </w:r>
      <w:r w:rsidR="00CE71E4" w:rsidRPr="007A4773">
        <w:t>oronavírus.</w:t>
      </w:r>
    </w:p>
    <w:p w14:paraId="3B2BAB66" w14:textId="6F9D9C21" w:rsidR="00246FA5" w:rsidRDefault="00246FA5" w:rsidP="007A4773">
      <w:pPr>
        <w:pStyle w:val="TextosemFormatao"/>
        <w:spacing w:line="360" w:lineRule="auto"/>
        <w:ind w:firstLine="708"/>
      </w:pPr>
      <w:r>
        <w:t>Especificamente</w:t>
      </w:r>
      <w:r w:rsidR="007A4773">
        <w:t xml:space="preserve"> no plano da imunização, </w:t>
      </w:r>
      <w:r>
        <w:t xml:space="preserve">destaca o Poder Executivo que </w:t>
      </w:r>
      <w:r w:rsidR="007A4773">
        <w:t xml:space="preserve">a Medida Provisória nº 994, de 2020, convertida na Lei nº 14.107, de 2020, viabilizou o contrato de encomenda tecnológica entre a Fiocruz e a empresa AstraZeneca que, em colaboração com a Universidade de Oxford, desenvolveu a vacina contra a Covid-19. </w:t>
      </w:r>
      <w:r w:rsidR="00027462">
        <w:t>Em decorrência desse ajuste, há previsão de entrega, pela Fiocruz, de 100,4 milhões de doses de vacina ao Programa Nacional de Imunizações – PNI</w:t>
      </w:r>
      <w:r w:rsidR="002770E9">
        <w:t>,</w:t>
      </w:r>
      <w:r w:rsidR="00027462">
        <w:t xml:space="preserve"> até julho de 2021.</w:t>
      </w:r>
    </w:p>
    <w:p w14:paraId="30DC898C" w14:textId="1F489A49" w:rsidR="00027462" w:rsidRDefault="007A4773" w:rsidP="007A4773">
      <w:pPr>
        <w:pStyle w:val="TextosemFormatao"/>
        <w:spacing w:line="360" w:lineRule="auto"/>
        <w:ind w:firstLine="708"/>
      </w:pPr>
      <w:r>
        <w:t xml:space="preserve">Já a Medida Provisória nº 1.004, de </w:t>
      </w:r>
      <w:r w:rsidR="00982DB6">
        <w:t>2020, convertida na</w:t>
      </w:r>
      <w:r>
        <w:t xml:space="preserve"> Lei nº 14.122, de 2021, possibilitou o ingresso do Brasil no Instrumento de Acesso Global de Vacinas Covid-19 – Covax Facility, iniciativa promovida pela Organização Mundial de Saúde – OMS que assegura o acesso justo e equitativo, de todos os países, a vacinas que se mostrem efetivas. </w:t>
      </w:r>
      <w:r w:rsidR="00027462">
        <w:t>Referido instrumento prevê o acesso a até 45,5 milhões de doses de vacinas.</w:t>
      </w:r>
    </w:p>
    <w:p w14:paraId="4A5B2333" w14:textId="36F213D6" w:rsidR="000A29F3" w:rsidRDefault="007A4773" w:rsidP="007A4773">
      <w:pPr>
        <w:pStyle w:val="TextosemFormatao"/>
        <w:spacing w:line="360" w:lineRule="auto"/>
        <w:ind w:firstLine="708"/>
      </w:pPr>
      <w:r>
        <w:lastRenderedPageBreak/>
        <w:t xml:space="preserve">Por fim, a Medida Provisória nº 1.015, de 2020, </w:t>
      </w:r>
      <w:r w:rsidR="00027462">
        <w:t>financiou</w:t>
      </w:r>
      <w:r>
        <w:t xml:space="preserve"> a aquisição de doses para cobertura vacinal de parte da população brasileira, assim como despesas com insumos, logística, comunicação social e publicitária e outras necessidades para implementar a imunização contr</w:t>
      </w:r>
      <w:r w:rsidR="00982DB6">
        <w:t>a o novo c</w:t>
      </w:r>
      <w:r>
        <w:t>oronavírus.</w:t>
      </w:r>
      <w:r w:rsidR="00027462">
        <w:t xml:space="preserve"> Todavia, o saldo atualmente remanescente do crédito </w:t>
      </w:r>
      <w:r w:rsidR="000A29F3">
        <w:t xml:space="preserve">por ela </w:t>
      </w:r>
      <w:r w:rsidR="00027462">
        <w:t xml:space="preserve">autorizado, da ordem de R$ 3,8 bilhões, é insuficiente para atender </w:t>
      </w:r>
      <w:r w:rsidR="00464BCF">
        <w:t xml:space="preserve">às </w:t>
      </w:r>
      <w:r w:rsidR="00027462">
        <w:t>despesas de que trata a Medida Provisória ora proposta.</w:t>
      </w:r>
    </w:p>
    <w:p w14:paraId="1D793C75" w14:textId="77777777" w:rsidR="00982DB6" w:rsidRDefault="000A29F3" w:rsidP="000A29F3">
      <w:pPr>
        <w:pStyle w:val="TextosemFormatao"/>
        <w:spacing w:line="360" w:lineRule="auto"/>
        <w:ind w:firstLine="708"/>
      </w:pPr>
      <w:r>
        <w:t>Em relação a 2021, registra a Exposição de Motivos que</w:t>
      </w:r>
      <w:r w:rsidR="00982DB6">
        <w:t xml:space="preserve"> </w:t>
      </w:r>
      <w:r>
        <w:t>as medidas provisórias de crédito extraordinário editadas não contemplaram despesas com a imunização.</w:t>
      </w:r>
      <w:r w:rsidR="00982DB6">
        <w:t xml:space="preserve"> </w:t>
      </w:r>
    </w:p>
    <w:p w14:paraId="03B032AB" w14:textId="79704DC8" w:rsidR="002B5D64" w:rsidRDefault="00982DB6" w:rsidP="000A29F3">
      <w:pPr>
        <w:pStyle w:val="TextosemFormatao"/>
        <w:spacing w:line="360" w:lineRule="auto"/>
        <w:ind w:firstLine="708"/>
      </w:pPr>
      <w:r>
        <w:t xml:space="preserve">Segundo o Poder </w:t>
      </w:r>
      <w:r w:rsidR="002B5D64">
        <w:t>Executivo, até</w:t>
      </w:r>
      <w:r>
        <w:t xml:space="preserve"> </w:t>
      </w:r>
      <w:r w:rsidR="000A29F3">
        <w:t xml:space="preserve">o momento, já está prevista a disponibilização de até 422 milhões de doses de vacina para implementação do “Plano Nacional de Operacionalização da Vacinação contra a Covid-19”. </w:t>
      </w:r>
      <w:r>
        <w:t>Pondera, porém, que, e</w:t>
      </w:r>
      <w:r w:rsidR="000A29F3">
        <w:t xml:space="preserve">mbora aparentemente o número seja suficiente para atender toda a população brasileira com duas doses, é preciso considerar outros fatores que podem impactar a implementação do Plano: parcela das doses contratadas depende ainda de aprovação da agência regulatória para que possa ser utilizada; há incertezas com </w:t>
      </w:r>
      <w:r w:rsidR="000A29F3">
        <w:lastRenderedPageBreak/>
        <w:t xml:space="preserve">relação às perdas operacionais, usualmente estimadas em 10% das doses de vacina, mas que podem vir a alcançar volume superior; há imprevisibilidade, com os dados atuais, sobre a necessidade, ou não, de doses adicionais nas pessoas já vacinadas; e, por fim, a grande demanda mundial por esses imunobiológicos ou pelos insumos necessários à sua produção ocasionam incertezas com relação aos calendários de entregas, resultando em risco de atrasos e comprometimento da vacinação em tempo oportuno, conforme demonstrado pela experiência recente. </w:t>
      </w:r>
    </w:p>
    <w:p w14:paraId="3874FE08" w14:textId="00D99797" w:rsidR="000A29F3" w:rsidRPr="007A4773" w:rsidRDefault="002B5D64" w:rsidP="000A29F3">
      <w:pPr>
        <w:pStyle w:val="TextosemFormatao"/>
        <w:spacing w:line="360" w:lineRule="auto"/>
        <w:ind w:firstLine="708"/>
        <w:rPr>
          <w:color w:val="FF0000"/>
        </w:rPr>
      </w:pPr>
      <w:r>
        <w:t>Nesse sentido, a</w:t>
      </w:r>
      <w:r w:rsidR="000A29F3">
        <w:t>s situações citadas geram necessidade de expandir as doses disponíveis ao Programa Nacional de Imunizações - PNI, mitigando-se os riscos de atrasos ou interrupções na vacinação da população brasileira. Com isso, as doses contratadas podem vir a superar o estimado inicialmente como necessário para cobertura de toda a população apta à imunização, o que se justifica pelo potencial que as doses adicionais têm de acelerar o processo de imunização, preservando vidas e contribuindo para a superação do atual cenário pandêmico.</w:t>
      </w:r>
    </w:p>
    <w:p w14:paraId="284C653F" w14:textId="7152E459" w:rsidR="00092866" w:rsidRPr="00BB34FE" w:rsidRDefault="00092866" w:rsidP="00092866">
      <w:pPr>
        <w:pStyle w:val="TextosemFormatao"/>
        <w:spacing w:line="360" w:lineRule="auto"/>
        <w:ind w:firstLine="708"/>
      </w:pPr>
      <w:r w:rsidRPr="00BB34FE">
        <w:t xml:space="preserve">Dessa forma, sustenta o Poder Executivo que as medidas a serem financiadas com o crédito em apreço são singulares, de caráter excepcional e diretamente vinculadas à situação decorrente da pandemia de </w:t>
      </w:r>
      <w:r w:rsidRPr="00BB34FE">
        <w:lastRenderedPageBreak/>
        <w:t>Covid-19, cujos impactos extraordinários na saúde pública, na economia, em outras políticas sociais e mesmo no cotidiano da população são de conhecimento público. Assim, as despesas previstas não se confundem com despesas correntes regulares necessárias ao funcionamento do Sistema Único de Saúde em situação de normalidade, a maior parte das quais de caráter obrigatório e continuado.</w:t>
      </w:r>
    </w:p>
    <w:p w14:paraId="4840DFC3" w14:textId="66DDFD48" w:rsidR="00C15BB9" w:rsidRPr="00BB34FE" w:rsidRDefault="00092866" w:rsidP="00C15BB9">
      <w:pPr>
        <w:pStyle w:val="TextosemFormatao"/>
        <w:spacing w:line="360" w:lineRule="auto"/>
        <w:ind w:firstLine="708"/>
      </w:pPr>
      <w:r w:rsidRPr="00BB34FE">
        <w:t>Quanto aos requisitos constitucionais para abertura do crédito ext</w:t>
      </w:r>
      <w:r w:rsidR="00BB34FE" w:rsidRPr="00BB34FE">
        <w:t>raordinário, registra a Exposição de Motivos nº 116</w:t>
      </w:r>
      <w:r w:rsidRPr="00BB34FE">
        <w:t>/2021 ME</w:t>
      </w:r>
      <w:r w:rsidR="00C15BB9" w:rsidRPr="00BB34FE">
        <w:t xml:space="preserve"> </w:t>
      </w:r>
      <w:r w:rsidR="0017640B" w:rsidRPr="00BB34FE">
        <w:t xml:space="preserve">que </w:t>
      </w:r>
      <w:r w:rsidR="00C15BB9" w:rsidRPr="00BB34FE">
        <w:t xml:space="preserve">a urgência decorre do quadro apresentado de persistência da Covid-19 e aumento do número de casos e óbitos, no qual a velocidade de resposta do poder público é condição necessária para garantir a proteção e recuperação da saúde da população brasileira. </w:t>
      </w:r>
    </w:p>
    <w:p w14:paraId="389F2688" w14:textId="77777777" w:rsidR="00C15BB9" w:rsidRPr="00BB34FE" w:rsidRDefault="00C15BB9" w:rsidP="00C15BB9">
      <w:pPr>
        <w:pStyle w:val="TextosemFormatao"/>
        <w:spacing w:line="360" w:lineRule="auto"/>
        <w:ind w:firstLine="708"/>
      </w:pPr>
      <w:r w:rsidRPr="00BB34FE">
        <w:t xml:space="preserve">Já a relevância é oriunda da atual situação da pandemia, com alto risco à saúde pública, dado o grande potencial de contágio e o crescimento do número de casos e mortes observados. </w:t>
      </w:r>
    </w:p>
    <w:p w14:paraId="27846DC7" w14:textId="7FEFC8C3" w:rsidR="00092866" w:rsidRPr="00BB34FE" w:rsidRDefault="00C15BB9" w:rsidP="00C15BB9">
      <w:pPr>
        <w:pStyle w:val="TextosemFormatao"/>
        <w:spacing w:line="360" w:lineRule="auto"/>
        <w:ind w:firstLine="708"/>
      </w:pPr>
      <w:r w:rsidRPr="00BB34FE">
        <w:t xml:space="preserve">Por fim, a </w:t>
      </w:r>
      <w:r w:rsidR="00092866" w:rsidRPr="00BB34FE">
        <w:t xml:space="preserve">imprevisibilidade </w:t>
      </w:r>
      <w:r w:rsidRPr="00BB34FE">
        <w:t>deve-se</w:t>
      </w:r>
      <w:r w:rsidR="00092866" w:rsidRPr="00BB34FE">
        <w:t xml:space="preserve"> </w:t>
      </w:r>
      <w:r w:rsidRPr="00BB34FE">
        <w:t>ao fato de a</w:t>
      </w:r>
      <w:r w:rsidR="00092866" w:rsidRPr="00BB34FE">
        <w:t xml:space="preserve"> situação epidemiológi</w:t>
      </w:r>
      <w:r w:rsidRPr="00BB34FE">
        <w:t>ca atualmente verificada não ser</w:t>
      </w:r>
      <w:r w:rsidR="00092866" w:rsidRPr="00BB34FE">
        <w:t xml:space="preserve"> certa em meados de 2020, quando da elaboração do Projeto de Lei Orçamentária de 2021, como indica</w:t>
      </w:r>
      <w:r w:rsidR="008C0605">
        <w:t>va</w:t>
      </w:r>
      <w:r w:rsidR="00092866" w:rsidRPr="00BB34FE">
        <w:t xml:space="preserve"> </w:t>
      </w:r>
      <w:r w:rsidR="00092866" w:rsidRPr="00BB34FE">
        <w:lastRenderedPageBreak/>
        <w:t>a redução do número de casos e mortes no decorrer do segundo semestre de 2020, além da perspectiva da imunização.</w:t>
      </w:r>
    </w:p>
    <w:p w14:paraId="6763292B" w14:textId="3EC84D89" w:rsidR="00427363" w:rsidRPr="00FF5F49" w:rsidRDefault="00427363" w:rsidP="00187F26">
      <w:pPr>
        <w:pStyle w:val="TextosemFormatao"/>
        <w:spacing w:before="240" w:after="240"/>
        <w:ind w:firstLine="0"/>
        <w:rPr>
          <w:rFonts w:cs="Arial"/>
          <w:b/>
          <w:bCs/>
          <w:szCs w:val="19"/>
        </w:rPr>
      </w:pPr>
      <w:r w:rsidRPr="00FF5F49">
        <w:rPr>
          <w:rFonts w:cs="Arial"/>
          <w:b/>
          <w:bCs/>
          <w:szCs w:val="19"/>
        </w:rPr>
        <w:t>3</w:t>
      </w:r>
      <w:r w:rsidRPr="00FF5F49">
        <w:rPr>
          <w:rFonts w:cs="Arial"/>
          <w:b/>
          <w:bCs/>
          <w:szCs w:val="19"/>
        </w:rPr>
        <w:tab/>
      </w:r>
      <w:r w:rsidR="00584816" w:rsidRPr="00FF5F49">
        <w:rPr>
          <w:rFonts w:cs="Arial"/>
          <w:b/>
          <w:bCs/>
          <w:szCs w:val="19"/>
        </w:rPr>
        <w:t xml:space="preserve">Subsídios acerca da adequação </w:t>
      </w:r>
      <w:r w:rsidR="00AB3679" w:rsidRPr="00FF5F49">
        <w:rPr>
          <w:rFonts w:cs="Arial"/>
          <w:b/>
          <w:bCs/>
          <w:szCs w:val="19"/>
        </w:rPr>
        <w:t>orçamentária e financeira</w:t>
      </w:r>
    </w:p>
    <w:p w14:paraId="485465AD" w14:textId="6A945EDE" w:rsidR="00D00F23" w:rsidRPr="00FF5F49" w:rsidRDefault="00D00F23" w:rsidP="006B3FE3">
      <w:pPr>
        <w:pStyle w:val="Recuodecorpodetexto2"/>
        <w:spacing w:after="120" w:line="360" w:lineRule="auto"/>
        <w:ind w:firstLine="708"/>
        <w:rPr>
          <w:rFonts w:ascii="Arial" w:hAnsi="Arial" w:cs="Arial"/>
          <w:b w:val="0"/>
          <w:color w:val="auto"/>
        </w:rPr>
      </w:pPr>
      <w:r w:rsidRPr="00FF5F49">
        <w:rPr>
          <w:rFonts w:ascii="Arial" w:hAnsi="Arial" w:cs="Arial"/>
          <w:b w:val="0"/>
          <w:color w:val="auto"/>
        </w:rPr>
        <w:t>Conforme mencionado na introdução desta nota técnica, o exame de compatibilidade e adequação orçamentária e financeira deve verificar a repercussão sobre a receita ou a despesa pública da União e o atendimento das normas orçamentárias e financeiras vigentes, em especial da Lei Complementar nº 101, de 2000, da lei do plano plurianual, da lei de diretrizes orçamentárias e da lei orçamentária da União.</w:t>
      </w:r>
    </w:p>
    <w:p w14:paraId="2C51EF5C" w14:textId="77777777" w:rsidR="002B2F42" w:rsidRPr="00FF5F49" w:rsidRDefault="002B2F42" w:rsidP="002B2F42">
      <w:pPr>
        <w:pStyle w:val="Recuodecorpodetexto2"/>
        <w:spacing w:after="120" w:line="360" w:lineRule="auto"/>
        <w:ind w:firstLine="708"/>
        <w:rPr>
          <w:rFonts w:ascii="Arial" w:hAnsi="Arial" w:cs="Arial"/>
          <w:b w:val="0"/>
          <w:color w:val="auto"/>
          <w:szCs w:val="24"/>
        </w:rPr>
      </w:pPr>
      <w:r w:rsidRPr="00FF5F49">
        <w:rPr>
          <w:rFonts w:ascii="Arial" w:hAnsi="Arial" w:cs="Arial"/>
          <w:b w:val="0"/>
          <w:color w:val="auto"/>
          <w:szCs w:val="24"/>
        </w:rPr>
        <w:t>Convém ressaltar que, como regra geral, o objeto da nota técnica de adequação orçamentária não abrange o exame da observância dos pressupostos constitucionais de admissibilidade das medidas provisórias (relevância e urgência). Porém, no caso de créditos extraordinários, devem ser analisados os requisitos constitucionais de imprevisibilidade e urgência, pois derivam de disposição orçamentária específica (art. 167, § 3º, da Constituição Federal).</w:t>
      </w:r>
    </w:p>
    <w:p w14:paraId="5E586E9E" w14:textId="51CACDB9" w:rsidR="002B2F42" w:rsidRPr="00FF5F49" w:rsidRDefault="002B2F42" w:rsidP="002B2F42">
      <w:pPr>
        <w:pStyle w:val="Recuodecorpodetexto2"/>
        <w:spacing w:after="120" w:line="360" w:lineRule="auto"/>
        <w:ind w:firstLine="708"/>
        <w:rPr>
          <w:rFonts w:ascii="Arial" w:hAnsi="Arial" w:cs="Arial"/>
          <w:b w:val="0"/>
          <w:color w:val="auto"/>
        </w:rPr>
      </w:pPr>
      <w:r w:rsidRPr="00FF5F49">
        <w:rPr>
          <w:rFonts w:ascii="Arial" w:hAnsi="Arial" w:cs="Arial"/>
          <w:b w:val="0"/>
          <w:color w:val="auto"/>
        </w:rPr>
        <w:t>Quanto a esse aspecto, parece razoável considerar que as informações constantes d</w:t>
      </w:r>
      <w:r w:rsidR="002B5D64" w:rsidRPr="00FF5F49">
        <w:rPr>
          <w:rFonts w:ascii="Arial" w:hAnsi="Arial" w:cs="Arial"/>
          <w:b w:val="0"/>
          <w:color w:val="auto"/>
        </w:rPr>
        <w:t>a Exposição de Motivos nº 116</w:t>
      </w:r>
      <w:r w:rsidRPr="00FF5F49">
        <w:rPr>
          <w:rFonts w:ascii="Arial" w:hAnsi="Arial" w:cs="Arial"/>
          <w:b w:val="0"/>
          <w:color w:val="auto"/>
        </w:rPr>
        <w:t xml:space="preserve">/2021 ME, sumariadas </w:t>
      </w:r>
      <w:r w:rsidRPr="00FF5F49">
        <w:rPr>
          <w:rFonts w:ascii="Arial" w:hAnsi="Arial" w:cs="Arial"/>
          <w:b w:val="0"/>
          <w:color w:val="auto"/>
        </w:rPr>
        <w:lastRenderedPageBreak/>
        <w:t>anteriormente, são suficientes para demonstrar a observância dos referidos requisitos.</w:t>
      </w:r>
    </w:p>
    <w:p w14:paraId="0B989506" w14:textId="5482EF24" w:rsidR="002B2F42" w:rsidRPr="00FF5F49" w:rsidRDefault="002B2F42" w:rsidP="002B2F42">
      <w:pPr>
        <w:pStyle w:val="Recuodecorpodetexto2"/>
        <w:spacing w:after="120" w:line="360" w:lineRule="auto"/>
        <w:ind w:firstLine="708"/>
        <w:rPr>
          <w:rFonts w:ascii="Arial" w:hAnsi="Arial" w:cs="Arial"/>
          <w:b w:val="0"/>
          <w:color w:val="auto"/>
          <w:szCs w:val="24"/>
        </w:rPr>
      </w:pPr>
      <w:r w:rsidRPr="00FF5F49">
        <w:rPr>
          <w:rFonts w:ascii="Arial" w:hAnsi="Arial" w:cs="Arial"/>
          <w:b w:val="0"/>
          <w:color w:val="auto"/>
          <w:szCs w:val="24"/>
        </w:rPr>
        <w:t>Conforme consta do Anexo à MP</w:t>
      </w:r>
      <w:r w:rsidR="002B5D64" w:rsidRPr="00FF5F49">
        <w:rPr>
          <w:rFonts w:ascii="Arial" w:hAnsi="Arial" w:cs="Arial"/>
          <w:b w:val="0"/>
          <w:color w:val="auto"/>
          <w:szCs w:val="24"/>
        </w:rPr>
        <w:t xml:space="preserve"> nº 1.048</w:t>
      </w:r>
      <w:r w:rsidR="006E2A0B" w:rsidRPr="00FF5F49">
        <w:rPr>
          <w:rFonts w:ascii="Arial" w:hAnsi="Arial" w:cs="Arial"/>
          <w:b w:val="0"/>
          <w:color w:val="auto"/>
          <w:szCs w:val="24"/>
        </w:rPr>
        <w:t>, de 2021</w:t>
      </w:r>
      <w:r w:rsidRPr="00FF5F49">
        <w:rPr>
          <w:rFonts w:ascii="Arial" w:hAnsi="Arial" w:cs="Arial"/>
          <w:b w:val="0"/>
          <w:color w:val="auto"/>
          <w:szCs w:val="24"/>
        </w:rPr>
        <w:t>, as despesas autorizadas, todas primárias</w:t>
      </w:r>
      <w:r w:rsidR="006E2A0B" w:rsidRPr="00FF5F49">
        <w:rPr>
          <w:rFonts w:ascii="Arial" w:hAnsi="Arial" w:cs="Arial"/>
          <w:b w:val="0"/>
          <w:color w:val="auto"/>
          <w:szCs w:val="24"/>
        </w:rPr>
        <w:t xml:space="preserve"> </w:t>
      </w:r>
      <w:r w:rsidR="002B5D64" w:rsidRPr="00FF5F49">
        <w:rPr>
          <w:rFonts w:ascii="Arial" w:hAnsi="Arial" w:cs="Arial"/>
          <w:b w:val="0"/>
          <w:color w:val="auto"/>
          <w:szCs w:val="24"/>
        </w:rPr>
        <w:t xml:space="preserve">obrigatórias (RP 1) </w:t>
      </w:r>
      <w:r w:rsidR="006E2A0B" w:rsidRPr="00FF5F49">
        <w:rPr>
          <w:rFonts w:ascii="Arial" w:hAnsi="Arial" w:cs="Arial"/>
          <w:b w:val="0"/>
          <w:color w:val="auto"/>
          <w:szCs w:val="24"/>
        </w:rPr>
        <w:t>e destinadas ao enfrentamento da pandemia</w:t>
      </w:r>
      <w:r w:rsidRPr="00FF5F49">
        <w:rPr>
          <w:rFonts w:ascii="Arial" w:hAnsi="Arial" w:cs="Arial"/>
          <w:b w:val="0"/>
          <w:color w:val="auto"/>
          <w:szCs w:val="24"/>
        </w:rPr>
        <w:t>, estão classifica</w:t>
      </w:r>
      <w:r w:rsidR="002B5D64" w:rsidRPr="00FF5F49">
        <w:rPr>
          <w:rFonts w:ascii="Arial" w:hAnsi="Arial" w:cs="Arial"/>
          <w:b w:val="0"/>
          <w:color w:val="auto"/>
          <w:szCs w:val="24"/>
        </w:rPr>
        <w:t>das na ação orçamentária “20YE - Aquisição e Distribuição de Imunobiológicos e Insumos para Prevenção e Controle de Doenças”</w:t>
      </w:r>
      <w:r w:rsidRPr="00FF5F49">
        <w:rPr>
          <w:rFonts w:ascii="Arial" w:hAnsi="Arial" w:cs="Arial"/>
          <w:b w:val="0"/>
          <w:color w:val="auto"/>
          <w:szCs w:val="24"/>
        </w:rPr>
        <w:t>.  O referido Anexo informa, ainda, que as despesas serão custeadas com superavit financeiro apurado em ex</w:t>
      </w:r>
      <w:r w:rsidR="002B5D64" w:rsidRPr="00FF5F49">
        <w:rPr>
          <w:rFonts w:ascii="Arial" w:hAnsi="Arial" w:cs="Arial"/>
          <w:b w:val="0"/>
          <w:color w:val="auto"/>
          <w:szCs w:val="24"/>
        </w:rPr>
        <w:t>ercícios anteriores na fonte “53</w:t>
      </w:r>
      <w:r w:rsidRPr="00FF5F49">
        <w:rPr>
          <w:rFonts w:ascii="Arial" w:hAnsi="Arial" w:cs="Arial"/>
          <w:b w:val="0"/>
          <w:color w:val="auto"/>
          <w:szCs w:val="24"/>
        </w:rPr>
        <w:t xml:space="preserve"> - </w:t>
      </w:r>
      <w:r w:rsidR="002B5D64" w:rsidRPr="00FF5F49">
        <w:rPr>
          <w:rFonts w:ascii="Arial" w:hAnsi="Arial" w:cs="Arial"/>
          <w:b w:val="0"/>
          <w:color w:val="auto"/>
          <w:szCs w:val="24"/>
        </w:rPr>
        <w:t>Recursos Destinados às Atividades-Fins da Seguridade Social</w:t>
      </w:r>
      <w:r w:rsidRPr="00FF5F49">
        <w:rPr>
          <w:rFonts w:ascii="Arial" w:hAnsi="Arial" w:cs="Arial"/>
          <w:b w:val="0"/>
          <w:color w:val="auto"/>
          <w:szCs w:val="24"/>
        </w:rPr>
        <w:t>”.</w:t>
      </w:r>
    </w:p>
    <w:p w14:paraId="7799CCEF" w14:textId="7AB7DB80" w:rsidR="002B2F42" w:rsidRPr="00FF5F49" w:rsidRDefault="002B5D64" w:rsidP="002B2F42">
      <w:pPr>
        <w:pStyle w:val="Recuodecorpodetexto2"/>
        <w:spacing w:after="120" w:line="360" w:lineRule="auto"/>
        <w:ind w:firstLine="708"/>
        <w:rPr>
          <w:rFonts w:ascii="Arial" w:hAnsi="Arial" w:cs="Arial"/>
          <w:b w:val="0"/>
          <w:color w:val="auto"/>
          <w:szCs w:val="24"/>
        </w:rPr>
      </w:pPr>
      <w:r w:rsidRPr="00FF5F49">
        <w:rPr>
          <w:rFonts w:ascii="Arial" w:hAnsi="Arial" w:cs="Arial"/>
          <w:b w:val="0"/>
          <w:color w:val="auto"/>
          <w:szCs w:val="24"/>
        </w:rPr>
        <w:t>Muito embora autorize</w:t>
      </w:r>
      <w:r w:rsidR="002B2F42" w:rsidRPr="00FF5F49">
        <w:rPr>
          <w:rFonts w:ascii="Arial" w:hAnsi="Arial" w:cs="Arial"/>
          <w:b w:val="0"/>
          <w:color w:val="auto"/>
          <w:szCs w:val="24"/>
        </w:rPr>
        <w:t xml:space="preserve"> novas despesas primárias </w:t>
      </w:r>
      <w:r w:rsidR="006E2A0B" w:rsidRPr="00FF5F49">
        <w:rPr>
          <w:rFonts w:ascii="Arial" w:hAnsi="Arial" w:cs="Arial"/>
          <w:b w:val="0"/>
          <w:color w:val="auto"/>
          <w:szCs w:val="24"/>
        </w:rPr>
        <w:t>a serem custeadas com receita financeira (superavit financeiro de exercício anterior)</w:t>
      </w:r>
      <w:r w:rsidR="002B2F42" w:rsidRPr="00FF5F49">
        <w:rPr>
          <w:rFonts w:ascii="Arial" w:hAnsi="Arial" w:cs="Arial"/>
          <w:b w:val="0"/>
          <w:color w:val="auto"/>
          <w:szCs w:val="24"/>
        </w:rPr>
        <w:t>, a MP nº 1.0</w:t>
      </w:r>
      <w:r w:rsidRPr="00FF5F49">
        <w:rPr>
          <w:rFonts w:ascii="Arial" w:hAnsi="Arial" w:cs="Arial"/>
          <w:b w:val="0"/>
          <w:color w:val="auto"/>
          <w:szCs w:val="24"/>
        </w:rPr>
        <w:t>48</w:t>
      </w:r>
      <w:r w:rsidR="002B2F42" w:rsidRPr="00FF5F49">
        <w:rPr>
          <w:rFonts w:ascii="Arial" w:hAnsi="Arial" w:cs="Arial"/>
          <w:b w:val="0"/>
          <w:color w:val="auto"/>
          <w:szCs w:val="24"/>
        </w:rPr>
        <w:t xml:space="preserve">, de 2021, </w:t>
      </w:r>
      <w:r w:rsidRPr="00FF5F49">
        <w:rPr>
          <w:rFonts w:ascii="Arial" w:hAnsi="Arial" w:cs="Arial"/>
          <w:b w:val="0"/>
          <w:color w:val="auto"/>
          <w:szCs w:val="24"/>
        </w:rPr>
        <w:t>n</w:t>
      </w:r>
      <w:r w:rsidR="00FF5F49" w:rsidRPr="00FF5F49">
        <w:rPr>
          <w:rFonts w:ascii="Arial" w:hAnsi="Arial" w:cs="Arial"/>
          <w:b w:val="0"/>
          <w:color w:val="auto"/>
          <w:szCs w:val="24"/>
        </w:rPr>
        <w:t xml:space="preserve">ão </w:t>
      </w:r>
      <w:r w:rsidR="005571BD">
        <w:rPr>
          <w:rFonts w:ascii="Arial" w:hAnsi="Arial" w:cs="Arial"/>
          <w:b w:val="0"/>
          <w:color w:val="auto"/>
          <w:szCs w:val="24"/>
        </w:rPr>
        <w:t>demandará contingenciamentos de despesas adicionais como forma de</w:t>
      </w:r>
      <w:r w:rsidR="00FF5F49" w:rsidRPr="00FF5F49">
        <w:rPr>
          <w:rFonts w:ascii="Arial" w:hAnsi="Arial" w:cs="Arial"/>
          <w:b w:val="0"/>
          <w:color w:val="auto"/>
          <w:szCs w:val="24"/>
        </w:rPr>
        <w:t xml:space="preserve"> </w:t>
      </w:r>
      <w:r w:rsidR="005571BD">
        <w:rPr>
          <w:rFonts w:ascii="Arial" w:hAnsi="Arial" w:cs="Arial"/>
          <w:b w:val="0"/>
          <w:color w:val="auto"/>
          <w:szCs w:val="24"/>
        </w:rPr>
        <w:t>garantir o cumprimento da</w:t>
      </w:r>
      <w:r w:rsidR="00FF5F49" w:rsidRPr="00FF5F49">
        <w:rPr>
          <w:rFonts w:ascii="Arial" w:hAnsi="Arial" w:cs="Arial"/>
          <w:b w:val="0"/>
          <w:color w:val="auto"/>
          <w:szCs w:val="24"/>
        </w:rPr>
        <w:t xml:space="preserve"> meta de</w:t>
      </w:r>
      <w:r w:rsidR="002B2F42" w:rsidRPr="00FF5F49">
        <w:rPr>
          <w:rFonts w:ascii="Arial" w:hAnsi="Arial" w:cs="Arial"/>
          <w:b w:val="0"/>
          <w:color w:val="auto"/>
          <w:szCs w:val="24"/>
        </w:rPr>
        <w:t xml:space="preserve"> resultado primário da União</w:t>
      </w:r>
      <w:r w:rsidRPr="00FF5F49">
        <w:rPr>
          <w:rFonts w:ascii="Arial" w:hAnsi="Arial" w:cs="Arial"/>
          <w:b w:val="0"/>
          <w:color w:val="auto"/>
          <w:szCs w:val="24"/>
        </w:rPr>
        <w:t xml:space="preserve"> fixado pela </w:t>
      </w:r>
      <w:r w:rsidR="002B2F42" w:rsidRPr="00FF5F49">
        <w:rPr>
          <w:rFonts w:ascii="Arial" w:hAnsi="Arial" w:cs="Arial"/>
          <w:b w:val="0"/>
          <w:color w:val="auto"/>
          <w:szCs w:val="24"/>
        </w:rPr>
        <w:t xml:space="preserve">na Lei de Diretrizes Orçamentárias para 2021 – LDO </w:t>
      </w:r>
      <w:r w:rsidR="00F855AE">
        <w:rPr>
          <w:rFonts w:ascii="Arial" w:hAnsi="Arial" w:cs="Arial"/>
          <w:b w:val="0"/>
          <w:color w:val="auto"/>
          <w:szCs w:val="24"/>
        </w:rPr>
        <w:t>2021 (Lei nº 14.116, de 2020). Isso porque</w:t>
      </w:r>
      <w:r w:rsidR="00FF5F49" w:rsidRPr="00FF5F49">
        <w:rPr>
          <w:rFonts w:ascii="Arial" w:hAnsi="Arial" w:cs="Arial"/>
          <w:b w:val="0"/>
          <w:color w:val="auto"/>
          <w:szCs w:val="24"/>
        </w:rPr>
        <w:t xml:space="preserve"> o art. 2º, § 2º, </w:t>
      </w:r>
      <w:r w:rsidR="00FF5F49" w:rsidRPr="00FF5F49">
        <w:rPr>
          <w:rFonts w:ascii="Arial" w:hAnsi="Arial" w:cs="Arial"/>
          <w:b w:val="0"/>
          <w:color w:val="auto"/>
          <w:szCs w:val="24"/>
        </w:rPr>
        <w:lastRenderedPageBreak/>
        <w:t>inciso I</w:t>
      </w:r>
      <w:r w:rsidR="006D19D9">
        <w:rPr>
          <w:rStyle w:val="Refdenotaderodap"/>
          <w:rFonts w:ascii="Arial" w:hAnsi="Arial" w:cs="Arial"/>
          <w:b w:val="0"/>
          <w:color w:val="auto"/>
          <w:szCs w:val="24"/>
        </w:rPr>
        <w:footnoteReference w:id="1"/>
      </w:r>
      <w:r w:rsidR="00FF5F49" w:rsidRPr="00FF5F49">
        <w:rPr>
          <w:rFonts w:ascii="Arial" w:hAnsi="Arial" w:cs="Arial"/>
          <w:b w:val="0"/>
          <w:color w:val="auto"/>
          <w:szCs w:val="24"/>
        </w:rPr>
        <w:t xml:space="preserve">, da referida lei </w:t>
      </w:r>
      <w:r w:rsidR="00FF5F49">
        <w:rPr>
          <w:rFonts w:ascii="Arial" w:hAnsi="Arial" w:cs="Arial"/>
          <w:b w:val="0"/>
          <w:color w:val="auto"/>
          <w:szCs w:val="24"/>
        </w:rPr>
        <w:t>dispensa da apuração da meta os</w:t>
      </w:r>
      <w:r w:rsidR="00FF5F49" w:rsidRPr="00FF5F49">
        <w:rPr>
          <w:rFonts w:ascii="Arial" w:hAnsi="Arial" w:cs="Arial"/>
          <w:b w:val="0"/>
          <w:color w:val="auto"/>
          <w:szCs w:val="24"/>
        </w:rPr>
        <w:t xml:space="preserve"> dispêndios decorrentes de créditos extraordinários abertos para custear ações e serviços públicos de saúde, nos termos da Lei Complementar nº 141, de 2012, desde que identificadas em categoria de programação específica de enfrentamento à pandemia.</w:t>
      </w:r>
    </w:p>
    <w:p w14:paraId="62CB1040" w14:textId="57085429" w:rsidR="002B2F42" w:rsidRPr="00FF5F49" w:rsidRDefault="00FF5F49" w:rsidP="002B2F42">
      <w:pPr>
        <w:pStyle w:val="Recuodecorpodetexto2"/>
        <w:spacing w:after="120" w:line="360" w:lineRule="auto"/>
        <w:ind w:firstLine="708"/>
        <w:rPr>
          <w:rFonts w:ascii="Arial" w:hAnsi="Arial" w:cs="Arial"/>
          <w:b w:val="0"/>
          <w:color w:val="auto"/>
          <w:szCs w:val="24"/>
        </w:rPr>
      </w:pPr>
      <w:r>
        <w:rPr>
          <w:rFonts w:ascii="Arial" w:hAnsi="Arial" w:cs="Arial"/>
          <w:b w:val="0"/>
          <w:color w:val="auto"/>
          <w:szCs w:val="24"/>
        </w:rPr>
        <w:t>Ademais, a</w:t>
      </w:r>
      <w:r w:rsidR="002B2F42" w:rsidRPr="00FF5F49">
        <w:rPr>
          <w:rFonts w:ascii="Arial" w:hAnsi="Arial" w:cs="Arial"/>
          <w:b w:val="0"/>
          <w:color w:val="auto"/>
          <w:szCs w:val="24"/>
        </w:rPr>
        <w:t xml:space="preserve"> despeito de promover aumento no montante de despesas primárias, o presente crédito está em conson</w:t>
      </w:r>
      <w:r>
        <w:rPr>
          <w:rFonts w:ascii="Arial" w:hAnsi="Arial" w:cs="Arial"/>
          <w:b w:val="0"/>
          <w:color w:val="auto"/>
          <w:szCs w:val="24"/>
        </w:rPr>
        <w:t>ância com o Novo Regime Fiscal - NRF</w:t>
      </w:r>
      <w:r w:rsidR="002B2F42" w:rsidRPr="00FF5F49">
        <w:rPr>
          <w:rFonts w:ascii="Arial" w:hAnsi="Arial" w:cs="Arial"/>
          <w:b w:val="0"/>
          <w:color w:val="auto"/>
          <w:szCs w:val="24"/>
        </w:rPr>
        <w:t xml:space="preserve"> estabelecido pela Emenda Constitucional nº 95, de 2016, </w:t>
      </w:r>
      <w:r>
        <w:rPr>
          <w:rFonts w:ascii="Arial" w:hAnsi="Arial" w:cs="Arial"/>
          <w:b w:val="0"/>
          <w:color w:val="auto"/>
          <w:szCs w:val="24"/>
        </w:rPr>
        <w:t>porquanto</w:t>
      </w:r>
      <w:r w:rsidR="002B2F42" w:rsidRPr="00FF5F49">
        <w:rPr>
          <w:rFonts w:ascii="Arial" w:hAnsi="Arial" w:cs="Arial"/>
          <w:b w:val="0"/>
          <w:color w:val="auto"/>
          <w:szCs w:val="24"/>
        </w:rPr>
        <w:t xml:space="preserve"> as despesas autorizadas por créditos extraordinários não são incluídas na base de cálculo e nos limites definidos pelo NRF, como previsto no art. 107, § 6º, inciso II, do Ato das Disposições Constitucionais Transitórias</w:t>
      </w:r>
      <w:r w:rsidR="002B2F42" w:rsidRPr="00FF5F49">
        <w:rPr>
          <w:rStyle w:val="Refdenotaderodap"/>
          <w:rFonts w:ascii="Arial" w:hAnsi="Arial" w:cs="Arial"/>
          <w:b w:val="0"/>
          <w:color w:val="auto"/>
          <w:szCs w:val="24"/>
        </w:rPr>
        <w:footnoteReference w:id="2"/>
      </w:r>
      <w:r w:rsidR="002B2F42" w:rsidRPr="00FF5F49">
        <w:rPr>
          <w:rFonts w:ascii="Arial" w:hAnsi="Arial" w:cs="Arial"/>
          <w:b w:val="0"/>
          <w:color w:val="auto"/>
          <w:szCs w:val="24"/>
        </w:rPr>
        <w:t>.</w:t>
      </w:r>
    </w:p>
    <w:p w14:paraId="1BA0263B" w14:textId="3A1DB838" w:rsidR="00D00F23" w:rsidRPr="00FF5F49" w:rsidRDefault="002B2F42" w:rsidP="008C7EC1">
      <w:pPr>
        <w:pStyle w:val="Recuodecorpodetexto2"/>
        <w:spacing w:after="120" w:line="360" w:lineRule="auto"/>
        <w:ind w:firstLine="708"/>
        <w:rPr>
          <w:rFonts w:ascii="Arial" w:hAnsi="Arial" w:cs="Arial"/>
          <w:b w:val="0"/>
          <w:color w:val="auto"/>
          <w:szCs w:val="24"/>
        </w:rPr>
      </w:pPr>
      <w:r w:rsidRPr="00FF5F49">
        <w:rPr>
          <w:rFonts w:ascii="Arial" w:hAnsi="Arial" w:cs="Arial"/>
          <w:b w:val="0"/>
          <w:color w:val="auto"/>
          <w:szCs w:val="24"/>
        </w:rPr>
        <w:lastRenderedPageBreak/>
        <w:t>No mais, não se vislumbram no presente crédito violações às demais normas atualmente vigentes que regem a matéria, em especial Lei de Responsabilidade Fiscal, a lei do plano plurianual e a lei de diretrizes orçamentárias da União.</w:t>
      </w:r>
    </w:p>
    <w:p w14:paraId="69E761C0" w14:textId="77777777" w:rsidR="00594E85" w:rsidRPr="00FF5F49" w:rsidRDefault="00D00F23" w:rsidP="00594E85">
      <w:pPr>
        <w:pStyle w:val="TextosemFormatao"/>
        <w:spacing w:before="240" w:after="240"/>
        <w:ind w:firstLine="0"/>
        <w:rPr>
          <w:rFonts w:cs="Arial"/>
          <w:b/>
          <w:bCs/>
          <w:szCs w:val="19"/>
        </w:rPr>
      </w:pPr>
      <w:r w:rsidRPr="00FF5F49">
        <w:rPr>
          <w:rFonts w:cs="Arial"/>
          <w:b/>
          <w:bCs/>
          <w:szCs w:val="19"/>
        </w:rPr>
        <w:t>4</w:t>
      </w:r>
      <w:r w:rsidR="00594E85" w:rsidRPr="00FF5F49">
        <w:rPr>
          <w:rFonts w:cs="Arial"/>
          <w:b/>
          <w:bCs/>
          <w:szCs w:val="19"/>
        </w:rPr>
        <w:tab/>
        <w:t xml:space="preserve">Considerações Finais </w:t>
      </w:r>
    </w:p>
    <w:p w14:paraId="00692FEB" w14:textId="1F44CBF5" w:rsidR="00107B70" w:rsidRPr="00FF5F49" w:rsidRDefault="00107B70" w:rsidP="00107B70">
      <w:pPr>
        <w:pStyle w:val="TextosemFormatao"/>
        <w:spacing w:line="360" w:lineRule="auto"/>
      </w:pPr>
      <w:r w:rsidRPr="00FF5F49">
        <w:t>São esses os subsídios que consideramos mais r</w:t>
      </w:r>
      <w:r w:rsidR="00F80E5E" w:rsidRPr="00FF5F49">
        <w:t>elevantes para a apreciação da Medida P</w:t>
      </w:r>
      <w:r w:rsidRPr="00FF5F49">
        <w:t xml:space="preserve">rovisória </w:t>
      </w:r>
      <w:r w:rsidR="00FF5F49" w:rsidRPr="00FF5F49">
        <w:t>nº 1.048, de 10</w:t>
      </w:r>
      <w:r w:rsidR="00F80E5E" w:rsidRPr="00FF5F49">
        <w:t xml:space="preserve"> de </w:t>
      </w:r>
      <w:r w:rsidR="00FF5F49" w:rsidRPr="00FF5F49">
        <w:t>maio</w:t>
      </w:r>
      <w:r w:rsidR="00F80E5E" w:rsidRPr="00FF5F49">
        <w:t xml:space="preserve"> de 2021</w:t>
      </w:r>
      <w:r w:rsidRPr="00FF5F49">
        <w:t>, quanto à adequação orçamentária e financeira.</w:t>
      </w:r>
    </w:p>
    <w:p w14:paraId="5CC57DAA" w14:textId="77777777" w:rsidR="00F80E5E" w:rsidRPr="00FF5F49" w:rsidRDefault="00F80E5E" w:rsidP="00107B70">
      <w:pPr>
        <w:pStyle w:val="TextosemFormatao"/>
        <w:spacing w:line="360" w:lineRule="auto"/>
      </w:pPr>
    </w:p>
    <w:p w14:paraId="329BAFF3" w14:textId="77777777" w:rsidR="00107B70" w:rsidRPr="00FF5F49" w:rsidRDefault="00107B70" w:rsidP="00F01AE3">
      <w:pPr>
        <w:rPr>
          <w:rFonts w:ascii="Arial" w:hAnsi="Arial" w:cs="Arial"/>
          <w:iCs/>
          <w:sz w:val="24"/>
          <w:szCs w:val="24"/>
        </w:rPr>
      </w:pPr>
    </w:p>
    <w:p w14:paraId="088456D3" w14:textId="1207D51E" w:rsidR="00427363" w:rsidRPr="00FF5F49" w:rsidRDefault="00F80E5E" w:rsidP="00F80E5E">
      <w:pPr>
        <w:spacing w:line="360" w:lineRule="auto"/>
        <w:jc w:val="center"/>
        <w:rPr>
          <w:rFonts w:ascii="Arial" w:hAnsi="Arial" w:cs="Arial"/>
          <w:b/>
          <w:sz w:val="24"/>
          <w:szCs w:val="24"/>
        </w:rPr>
      </w:pPr>
      <w:r w:rsidRPr="00FF5F49">
        <w:rPr>
          <w:rFonts w:ascii="Arial" w:hAnsi="Arial" w:cs="Arial"/>
          <w:b/>
          <w:sz w:val="24"/>
          <w:szCs w:val="24"/>
        </w:rPr>
        <w:t>Marcel Pereira</w:t>
      </w:r>
    </w:p>
    <w:p w14:paraId="1DA89D8C" w14:textId="77777777" w:rsidR="00427363" w:rsidRPr="00FF5F49" w:rsidRDefault="00427363" w:rsidP="00F01AE3">
      <w:pPr>
        <w:jc w:val="center"/>
        <w:rPr>
          <w:rFonts w:ascii="Arial" w:hAnsi="Arial" w:cs="Arial"/>
          <w:sz w:val="24"/>
          <w:szCs w:val="24"/>
        </w:rPr>
      </w:pPr>
      <w:r w:rsidRPr="00FF5F49">
        <w:rPr>
          <w:rFonts w:ascii="Arial" w:hAnsi="Arial" w:cs="Arial"/>
          <w:sz w:val="24"/>
          <w:szCs w:val="24"/>
        </w:rPr>
        <w:t>Consultor Legislativo – Assessoramento em Orçamentos</w:t>
      </w:r>
    </w:p>
    <w:p w14:paraId="044A1CBE" w14:textId="77777777" w:rsidR="00427363" w:rsidRPr="007A4773" w:rsidRDefault="00427363" w:rsidP="000A546F">
      <w:pPr>
        <w:rPr>
          <w:rFonts w:ascii="Arial" w:hAnsi="Arial" w:cs="Arial"/>
          <w:color w:val="FF0000"/>
          <w:sz w:val="24"/>
          <w:szCs w:val="24"/>
        </w:rPr>
      </w:pPr>
    </w:p>
    <w:sectPr w:rsidR="00427363" w:rsidRPr="007A4773" w:rsidSect="005726DC">
      <w:headerReference w:type="default" r:id="rId8"/>
      <w:footerReference w:type="even" r:id="rId9"/>
      <w:footerReference w:type="default" r:id="rId10"/>
      <w:pgSz w:w="11906" w:h="16838" w:code="9"/>
      <w:pgMar w:top="3402"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4370" w14:textId="77777777" w:rsidR="009168E7" w:rsidRDefault="009168E7" w:rsidP="00706665">
      <w:r>
        <w:separator/>
      </w:r>
    </w:p>
  </w:endnote>
  <w:endnote w:type="continuationSeparator" w:id="0">
    <w:p w14:paraId="5AA05940" w14:textId="77777777" w:rsidR="009168E7" w:rsidRDefault="009168E7" w:rsidP="0070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86EB" w14:textId="77777777" w:rsidR="005726DC" w:rsidRDefault="005726DC" w:rsidP="00E43F7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97A8BC" w14:textId="77777777" w:rsidR="005726DC" w:rsidRDefault="005726DC" w:rsidP="00D60AD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A8092" w14:textId="77777777" w:rsidR="005726DC" w:rsidRDefault="005726DC" w:rsidP="00D60AD0">
    <w:pPr>
      <w:pStyle w:val="Rodap"/>
      <w:ind w:right="360"/>
      <w:jc w:val="both"/>
      <w:rPr>
        <w:rFonts w:ascii="ITC Stone Sans Std Medium" w:hAnsi="ITC Stone Sans Std Medium"/>
        <w:sz w:val="14"/>
        <w:szCs w:val="14"/>
      </w:rPr>
    </w:pPr>
  </w:p>
  <w:p w14:paraId="125366FA" w14:textId="715BC00F" w:rsidR="005726DC" w:rsidRDefault="00F817C0" w:rsidP="00196BF2">
    <w:pPr>
      <w:pStyle w:val="Rodap"/>
      <w:jc w:val="center"/>
      <w:rPr>
        <w:rFonts w:ascii="ITC Stone Sans Std Medium" w:hAnsi="ITC Stone Sans Std Medium"/>
        <w:sz w:val="14"/>
        <w:szCs w:val="14"/>
      </w:rPr>
    </w:pPr>
    <w:r>
      <w:rPr>
        <w:noProof/>
        <w:lang w:eastAsia="pt-BR"/>
      </w:rPr>
      <w:drawing>
        <wp:anchor distT="0" distB="0" distL="114300" distR="114300" simplePos="0" relativeHeight="251657728" behindDoc="0" locked="0" layoutInCell="1" allowOverlap="1" wp14:anchorId="2F8D69B7" wp14:editId="75BD11AB">
          <wp:simplePos x="0" y="0"/>
          <wp:positionH relativeFrom="column">
            <wp:posOffset>-1149350</wp:posOffset>
          </wp:positionH>
          <wp:positionV relativeFrom="paragraph">
            <wp:posOffset>19685</wp:posOffset>
          </wp:positionV>
          <wp:extent cx="7675245" cy="181610"/>
          <wp:effectExtent l="0" t="0" r="1905" b="8890"/>
          <wp:wrapNone/>
          <wp:docPr id="2" name="Imagem 9" descr="tr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tra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23F57" w14:textId="77777777" w:rsidR="005726DC" w:rsidRPr="00196BF2" w:rsidRDefault="005726DC" w:rsidP="00196BF2">
    <w:pPr>
      <w:pStyle w:val="Rodap"/>
      <w:jc w:val="center"/>
      <w:rPr>
        <w:rFonts w:ascii="Times New Roman" w:hAnsi="Times New Roman"/>
        <w:sz w:val="14"/>
        <w:szCs w:val="14"/>
      </w:rPr>
    </w:pPr>
  </w:p>
  <w:p w14:paraId="7F64C11F" w14:textId="77777777" w:rsidR="005726DC" w:rsidRDefault="005726DC" w:rsidP="00196BF2">
    <w:pPr>
      <w:pStyle w:val="Rodap"/>
      <w:jc w:val="center"/>
      <w:rPr>
        <w:rFonts w:ascii="Times New Roman" w:hAnsi="Times New Roman"/>
        <w:sz w:val="16"/>
        <w:szCs w:val="16"/>
      </w:rPr>
    </w:pPr>
    <w:r w:rsidRPr="00A80C4B">
      <w:rPr>
        <w:rFonts w:ascii="Times New Roman" w:hAnsi="Times New Roman"/>
        <w:sz w:val="16"/>
        <w:szCs w:val="16"/>
      </w:rPr>
      <w:t xml:space="preserve">Senado Federal </w:t>
    </w:r>
    <w:r>
      <w:rPr>
        <w:rFonts w:ascii="Times New Roman" w:hAnsi="Times New Roman"/>
        <w:sz w:val="16"/>
        <w:szCs w:val="16"/>
      </w:rPr>
      <w:t>–</w:t>
    </w:r>
    <w:r w:rsidRPr="00A80C4B">
      <w:rPr>
        <w:rFonts w:ascii="Times New Roman" w:hAnsi="Times New Roman"/>
        <w:sz w:val="16"/>
        <w:szCs w:val="16"/>
      </w:rPr>
      <w:t xml:space="preserve"> Praça dos Três Poderes </w:t>
    </w:r>
    <w:r>
      <w:rPr>
        <w:rFonts w:ascii="Times New Roman" w:hAnsi="Times New Roman"/>
        <w:sz w:val="16"/>
        <w:szCs w:val="16"/>
      </w:rPr>
      <w:t xml:space="preserve">– </w:t>
    </w:r>
    <w:r w:rsidRPr="00A80C4B">
      <w:rPr>
        <w:rFonts w:ascii="Times New Roman" w:hAnsi="Times New Roman"/>
        <w:sz w:val="16"/>
        <w:szCs w:val="16"/>
      </w:rPr>
      <w:t xml:space="preserve">CEP 70165-900 </w:t>
    </w:r>
    <w:r>
      <w:rPr>
        <w:rFonts w:ascii="Times New Roman" w:hAnsi="Times New Roman"/>
        <w:sz w:val="16"/>
        <w:szCs w:val="16"/>
      </w:rPr>
      <w:t>–</w:t>
    </w:r>
    <w:r w:rsidRPr="00A80C4B">
      <w:rPr>
        <w:rFonts w:ascii="Times New Roman" w:hAnsi="Times New Roman"/>
        <w:sz w:val="16"/>
        <w:szCs w:val="16"/>
      </w:rPr>
      <w:t xml:space="preserve"> Brasília DF </w:t>
    </w:r>
  </w:p>
  <w:p w14:paraId="5751BE44" w14:textId="77777777" w:rsidR="005726DC" w:rsidRDefault="005726DC" w:rsidP="00D60AD0">
    <w:pPr>
      <w:pStyle w:val="Rodap"/>
      <w:jc w:val="center"/>
      <w:rPr>
        <w:rFonts w:ascii="Times New Roman" w:hAnsi="Times New Roman"/>
        <w:sz w:val="16"/>
        <w:szCs w:val="16"/>
      </w:rPr>
    </w:pPr>
    <w:r>
      <w:rPr>
        <w:rFonts w:ascii="Times New Roman" w:hAnsi="Times New Roman"/>
        <w:sz w:val="16"/>
        <w:szCs w:val="16"/>
      </w:rPr>
      <w:t xml:space="preserve">Telefone: +55 </w:t>
    </w:r>
    <w:r w:rsidRPr="00A80C4B">
      <w:rPr>
        <w:rFonts w:ascii="Times New Roman" w:hAnsi="Times New Roman"/>
        <w:sz w:val="16"/>
        <w:szCs w:val="16"/>
      </w:rPr>
      <w:t>(61)</w:t>
    </w:r>
    <w:r>
      <w:rPr>
        <w:rFonts w:ascii="Times New Roman" w:hAnsi="Times New Roman"/>
        <w:sz w:val="16"/>
        <w:szCs w:val="16"/>
      </w:rPr>
      <w:t xml:space="preserve"> 3303-3318 – conorf@senado.gov.br</w:t>
    </w:r>
  </w:p>
  <w:p w14:paraId="75FD2837" w14:textId="77777777" w:rsidR="005726DC" w:rsidRPr="00457D2B" w:rsidRDefault="005726DC" w:rsidP="00D60AD0">
    <w:pPr>
      <w:pStyle w:val="Rodap"/>
      <w:jc w:val="right"/>
      <w:rPr>
        <w:rFonts w:ascii="Times New Roman" w:hAnsi="Times New Roman"/>
        <w:sz w:val="16"/>
        <w:szCs w:val="16"/>
      </w:rPr>
    </w:pPr>
    <w:r>
      <w:rPr>
        <w:rFonts w:ascii="Times New Roman" w:hAnsi="Times New Roman"/>
        <w:sz w:val="16"/>
        <w:szCs w:val="16"/>
      </w:rPr>
      <w:tab/>
    </w:r>
    <w:r w:rsidRPr="00D60AD0">
      <w:rPr>
        <w:rFonts w:ascii="Times New Roman" w:hAnsi="Times New Roman"/>
        <w:sz w:val="16"/>
        <w:szCs w:val="16"/>
      </w:rPr>
      <w:fldChar w:fldCharType="begin"/>
    </w:r>
    <w:r w:rsidRPr="00D60AD0">
      <w:rPr>
        <w:rFonts w:ascii="Times New Roman" w:hAnsi="Times New Roman"/>
        <w:sz w:val="16"/>
        <w:szCs w:val="16"/>
      </w:rPr>
      <w:instrText xml:space="preserve"> PAGE </w:instrText>
    </w:r>
    <w:r w:rsidRPr="00D60AD0">
      <w:rPr>
        <w:rFonts w:ascii="Times New Roman" w:hAnsi="Times New Roman"/>
        <w:sz w:val="16"/>
        <w:szCs w:val="16"/>
      </w:rPr>
      <w:fldChar w:fldCharType="separate"/>
    </w:r>
    <w:r w:rsidR="001F1D44">
      <w:rPr>
        <w:rFonts w:ascii="Times New Roman" w:hAnsi="Times New Roman"/>
        <w:noProof/>
        <w:sz w:val="16"/>
        <w:szCs w:val="16"/>
      </w:rPr>
      <w:t>2</w:t>
    </w:r>
    <w:r w:rsidRPr="00D60AD0">
      <w:rPr>
        <w:rFonts w:ascii="Times New Roman" w:hAnsi="Times New Roman"/>
        <w:sz w:val="16"/>
        <w:szCs w:val="16"/>
      </w:rPr>
      <w:fldChar w:fldCharType="end"/>
    </w:r>
    <w:r w:rsidRPr="00D60AD0">
      <w:rPr>
        <w:rFonts w:ascii="Times New Roman" w:hAnsi="Times New Roman"/>
        <w:sz w:val="16"/>
        <w:szCs w:val="16"/>
      </w:rPr>
      <w:t xml:space="preserve"> de </w:t>
    </w:r>
    <w:r w:rsidRPr="00D60AD0">
      <w:rPr>
        <w:rFonts w:ascii="Times New Roman" w:hAnsi="Times New Roman"/>
        <w:sz w:val="16"/>
        <w:szCs w:val="16"/>
      </w:rPr>
      <w:fldChar w:fldCharType="begin"/>
    </w:r>
    <w:r w:rsidRPr="00D60AD0">
      <w:rPr>
        <w:rFonts w:ascii="Times New Roman" w:hAnsi="Times New Roman"/>
        <w:sz w:val="16"/>
        <w:szCs w:val="16"/>
      </w:rPr>
      <w:instrText xml:space="preserve"> NUMPAGES </w:instrText>
    </w:r>
    <w:r w:rsidRPr="00D60AD0">
      <w:rPr>
        <w:rFonts w:ascii="Times New Roman" w:hAnsi="Times New Roman"/>
        <w:sz w:val="16"/>
        <w:szCs w:val="16"/>
      </w:rPr>
      <w:fldChar w:fldCharType="separate"/>
    </w:r>
    <w:r w:rsidR="001F1D44">
      <w:rPr>
        <w:rFonts w:ascii="Times New Roman" w:hAnsi="Times New Roman"/>
        <w:noProof/>
        <w:sz w:val="16"/>
        <w:szCs w:val="16"/>
      </w:rPr>
      <w:t>7</w:t>
    </w:r>
    <w:r w:rsidRPr="00D60AD0">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A87E" w14:textId="77777777" w:rsidR="009168E7" w:rsidRDefault="009168E7" w:rsidP="00706665">
      <w:r>
        <w:separator/>
      </w:r>
    </w:p>
  </w:footnote>
  <w:footnote w:type="continuationSeparator" w:id="0">
    <w:p w14:paraId="2F919122" w14:textId="77777777" w:rsidR="009168E7" w:rsidRDefault="009168E7" w:rsidP="00706665">
      <w:r>
        <w:continuationSeparator/>
      </w:r>
    </w:p>
  </w:footnote>
  <w:footnote w:id="1">
    <w:p w14:paraId="77D34F6C" w14:textId="72E7097A" w:rsidR="006D19D9" w:rsidRPr="006D19D9" w:rsidRDefault="006D19D9" w:rsidP="006D19D9">
      <w:pPr>
        <w:pStyle w:val="Textodenotaderodap"/>
        <w:jc w:val="both"/>
      </w:pPr>
      <w:r>
        <w:rPr>
          <w:rStyle w:val="Refdenotaderodap"/>
        </w:rPr>
        <w:footnoteRef/>
      </w:r>
      <w:r>
        <w:t xml:space="preserve"> LDO 2021, art. 2º, § 2º </w:t>
      </w:r>
      <w:r w:rsidRPr="006D19D9">
        <w:t>No exercício de 2021, não serão contabilizados na meta de resultado primário de que trata este artigo os créditos extraordinários voltados às seguintes despesas</w:t>
      </w:r>
      <w:r>
        <w:t>:</w:t>
      </w:r>
    </w:p>
    <w:p w14:paraId="6F679FC4" w14:textId="17F1999C" w:rsidR="006D19D9" w:rsidRDefault="006D19D9" w:rsidP="006D19D9">
      <w:pPr>
        <w:pStyle w:val="Textodenotaderodap"/>
        <w:jc w:val="both"/>
      </w:pPr>
      <w:r w:rsidRPr="006D19D9">
        <w:t>I - ações e serviços públicos de saúde, nos termos da </w:t>
      </w:r>
      <w:hyperlink r:id="rId1" w:history="1">
        <w:r w:rsidRPr="006D19D9">
          <w:t>Lei Complementar nº 141, de 13 de janeiro de 2012</w:t>
        </w:r>
      </w:hyperlink>
      <w:r w:rsidRPr="006D19D9">
        <w:t>, desde que identificadas em categoria de programação específica de enfrentamento à pandemia</w:t>
      </w:r>
      <w:r>
        <w:t>;</w:t>
      </w:r>
    </w:p>
  </w:footnote>
  <w:footnote w:id="2">
    <w:p w14:paraId="71E3AC3C" w14:textId="77777777" w:rsidR="002B2F42" w:rsidRDefault="002B2F42" w:rsidP="002B2F42">
      <w:pPr>
        <w:pStyle w:val="Textodenotaderodap"/>
        <w:jc w:val="both"/>
      </w:pPr>
      <w:r>
        <w:rPr>
          <w:rStyle w:val="Refdenotaderodap"/>
        </w:rPr>
        <w:footnoteRef/>
      </w:r>
      <w:r>
        <w:t xml:space="preserve"> CF, art. 107, § 6º Não se incluem na base de cálculo e nos limites estabelecidos neste artigo:</w:t>
      </w:r>
    </w:p>
    <w:p w14:paraId="46536F36" w14:textId="77777777" w:rsidR="002B2F42" w:rsidRDefault="002B2F42" w:rsidP="002B2F42">
      <w:pPr>
        <w:pStyle w:val="Textodenotaderodap"/>
        <w:jc w:val="both"/>
      </w:pPr>
      <w:r>
        <w:t>(...)</w:t>
      </w:r>
    </w:p>
    <w:p w14:paraId="09DE3660" w14:textId="77777777" w:rsidR="002B2F42" w:rsidRDefault="002B2F42" w:rsidP="002B2F42">
      <w:pPr>
        <w:pStyle w:val="Textodenotaderodap"/>
        <w:jc w:val="both"/>
      </w:pPr>
      <w:r>
        <w:t>II - créditos extraordinários a que se refere o § 3º do art. 167 da Constituição Federal.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2F0D1" w14:textId="24AD27EE" w:rsidR="005726DC" w:rsidRDefault="00F817C0" w:rsidP="00457D2B">
    <w:pPr>
      <w:pStyle w:val="Cabealho"/>
      <w:spacing w:after="120"/>
      <w:jc w:val="center"/>
    </w:pPr>
    <w:r w:rsidRPr="003250E4">
      <w:rPr>
        <w:noProof/>
        <w:lang w:eastAsia="pt-BR"/>
      </w:rPr>
      <w:drawing>
        <wp:inline distT="0" distB="0" distL="0" distR="0" wp14:anchorId="11D4E622" wp14:editId="3562A6FE">
          <wp:extent cx="1212215" cy="925195"/>
          <wp:effectExtent l="0" t="0" r="6985" b="8255"/>
          <wp:docPr id="1"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925195"/>
                  </a:xfrm>
                  <a:prstGeom prst="rect">
                    <a:avLst/>
                  </a:prstGeom>
                  <a:noFill/>
                  <a:ln>
                    <a:noFill/>
                  </a:ln>
                </pic:spPr>
              </pic:pic>
            </a:graphicData>
          </a:graphic>
        </wp:inline>
      </w:drawing>
    </w:r>
  </w:p>
  <w:p w14:paraId="1C7D333B" w14:textId="77777777" w:rsidR="005726DC" w:rsidRDefault="005726DC" w:rsidP="00DD4440">
    <w:pPr>
      <w:pStyle w:val="Cabealho"/>
      <w:jc w:val="center"/>
    </w:pPr>
    <w:r w:rsidRPr="00FC02D1">
      <w:rPr>
        <w:rFonts w:ascii="Times New Roman" w:hAnsi="Times New Roman"/>
      </w:rPr>
      <w:t>Consultoria de Orçamentos, Fiscalização e Controle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7E6"/>
    <w:multiLevelType w:val="hybridMultilevel"/>
    <w:tmpl w:val="EFF4EDB6"/>
    <w:lvl w:ilvl="0" w:tplc="0416000D">
      <w:start w:val="1"/>
      <w:numFmt w:val="bullet"/>
      <w:lvlText w:val=""/>
      <w:lvlJc w:val="left"/>
      <w:pPr>
        <w:tabs>
          <w:tab w:val="num" w:pos="1020"/>
        </w:tabs>
        <w:ind w:left="1020" w:hanging="360"/>
      </w:pPr>
      <w:rPr>
        <w:rFonts w:ascii="Wingdings" w:hAnsi="Wingdings" w:hint="default"/>
      </w:rPr>
    </w:lvl>
    <w:lvl w:ilvl="1" w:tplc="04160003" w:tentative="1">
      <w:start w:val="1"/>
      <w:numFmt w:val="bullet"/>
      <w:lvlText w:val="o"/>
      <w:lvlJc w:val="left"/>
      <w:pPr>
        <w:tabs>
          <w:tab w:val="num" w:pos="1740"/>
        </w:tabs>
        <w:ind w:left="1740" w:hanging="360"/>
      </w:pPr>
      <w:rPr>
        <w:rFonts w:ascii="Courier New" w:hAnsi="Courier New" w:cs="Courier New" w:hint="default"/>
      </w:rPr>
    </w:lvl>
    <w:lvl w:ilvl="2" w:tplc="04160005" w:tentative="1">
      <w:start w:val="1"/>
      <w:numFmt w:val="bullet"/>
      <w:lvlText w:val=""/>
      <w:lvlJc w:val="left"/>
      <w:pPr>
        <w:tabs>
          <w:tab w:val="num" w:pos="2460"/>
        </w:tabs>
        <w:ind w:left="2460" w:hanging="360"/>
      </w:pPr>
      <w:rPr>
        <w:rFonts w:ascii="Wingdings" w:hAnsi="Wingdings" w:hint="default"/>
      </w:rPr>
    </w:lvl>
    <w:lvl w:ilvl="3" w:tplc="04160001" w:tentative="1">
      <w:start w:val="1"/>
      <w:numFmt w:val="bullet"/>
      <w:lvlText w:val=""/>
      <w:lvlJc w:val="left"/>
      <w:pPr>
        <w:tabs>
          <w:tab w:val="num" w:pos="3180"/>
        </w:tabs>
        <w:ind w:left="3180" w:hanging="360"/>
      </w:pPr>
      <w:rPr>
        <w:rFonts w:ascii="Symbol" w:hAnsi="Symbol" w:hint="default"/>
      </w:rPr>
    </w:lvl>
    <w:lvl w:ilvl="4" w:tplc="04160003" w:tentative="1">
      <w:start w:val="1"/>
      <w:numFmt w:val="bullet"/>
      <w:lvlText w:val="o"/>
      <w:lvlJc w:val="left"/>
      <w:pPr>
        <w:tabs>
          <w:tab w:val="num" w:pos="3900"/>
        </w:tabs>
        <w:ind w:left="3900" w:hanging="360"/>
      </w:pPr>
      <w:rPr>
        <w:rFonts w:ascii="Courier New" w:hAnsi="Courier New" w:cs="Courier New" w:hint="default"/>
      </w:rPr>
    </w:lvl>
    <w:lvl w:ilvl="5" w:tplc="04160005" w:tentative="1">
      <w:start w:val="1"/>
      <w:numFmt w:val="bullet"/>
      <w:lvlText w:val=""/>
      <w:lvlJc w:val="left"/>
      <w:pPr>
        <w:tabs>
          <w:tab w:val="num" w:pos="4620"/>
        </w:tabs>
        <w:ind w:left="4620" w:hanging="360"/>
      </w:pPr>
      <w:rPr>
        <w:rFonts w:ascii="Wingdings" w:hAnsi="Wingdings" w:hint="default"/>
      </w:rPr>
    </w:lvl>
    <w:lvl w:ilvl="6" w:tplc="04160001" w:tentative="1">
      <w:start w:val="1"/>
      <w:numFmt w:val="bullet"/>
      <w:lvlText w:val=""/>
      <w:lvlJc w:val="left"/>
      <w:pPr>
        <w:tabs>
          <w:tab w:val="num" w:pos="5340"/>
        </w:tabs>
        <w:ind w:left="5340" w:hanging="360"/>
      </w:pPr>
      <w:rPr>
        <w:rFonts w:ascii="Symbol" w:hAnsi="Symbol" w:hint="default"/>
      </w:rPr>
    </w:lvl>
    <w:lvl w:ilvl="7" w:tplc="04160003" w:tentative="1">
      <w:start w:val="1"/>
      <w:numFmt w:val="bullet"/>
      <w:lvlText w:val="o"/>
      <w:lvlJc w:val="left"/>
      <w:pPr>
        <w:tabs>
          <w:tab w:val="num" w:pos="6060"/>
        </w:tabs>
        <w:ind w:left="6060" w:hanging="360"/>
      </w:pPr>
      <w:rPr>
        <w:rFonts w:ascii="Courier New" w:hAnsi="Courier New" w:cs="Courier New" w:hint="default"/>
      </w:rPr>
    </w:lvl>
    <w:lvl w:ilvl="8" w:tplc="04160005" w:tentative="1">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0BD10C70"/>
    <w:multiLevelType w:val="hybridMultilevel"/>
    <w:tmpl w:val="064E2DDE"/>
    <w:lvl w:ilvl="0" w:tplc="EF58A4A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4AD3C93"/>
    <w:multiLevelType w:val="hybridMultilevel"/>
    <w:tmpl w:val="87B847AE"/>
    <w:lvl w:ilvl="0" w:tplc="E696AD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65"/>
    <w:rsid w:val="000130A1"/>
    <w:rsid w:val="00015EB9"/>
    <w:rsid w:val="000177E9"/>
    <w:rsid w:val="00020228"/>
    <w:rsid w:val="00027462"/>
    <w:rsid w:val="0004570B"/>
    <w:rsid w:val="000475E8"/>
    <w:rsid w:val="000518A5"/>
    <w:rsid w:val="000667BE"/>
    <w:rsid w:val="00075868"/>
    <w:rsid w:val="00092866"/>
    <w:rsid w:val="000A29F3"/>
    <w:rsid w:val="000A546F"/>
    <w:rsid w:val="000A750E"/>
    <w:rsid w:val="000D663E"/>
    <w:rsid w:val="0010354E"/>
    <w:rsid w:val="00107B70"/>
    <w:rsid w:val="00112131"/>
    <w:rsid w:val="00143A02"/>
    <w:rsid w:val="0016681F"/>
    <w:rsid w:val="00171ABC"/>
    <w:rsid w:val="00174725"/>
    <w:rsid w:val="0017640B"/>
    <w:rsid w:val="00187F26"/>
    <w:rsid w:val="00196BF2"/>
    <w:rsid w:val="001B50FF"/>
    <w:rsid w:val="001C33AD"/>
    <w:rsid w:val="001C4040"/>
    <w:rsid w:val="001C69EE"/>
    <w:rsid w:val="001D10FD"/>
    <w:rsid w:val="001D6EF9"/>
    <w:rsid w:val="001E3A7A"/>
    <w:rsid w:val="001F1D44"/>
    <w:rsid w:val="00206788"/>
    <w:rsid w:val="002229FF"/>
    <w:rsid w:val="00227DE4"/>
    <w:rsid w:val="0023416F"/>
    <w:rsid w:val="0024010A"/>
    <w:rsid w:val="00246FA5"/>
    <w:rsid w:val="0025753F"/>
    <w:rsid w:val="002639BF"/>
    <w:rsid w:val="002770E9"/>
    <w:rsid w:val="002802C7"/>
    <w:rsid w:val="00292FE2"/>
    <w:rsid w:val="00294EFF"/>
    <w:rsid w:val="002A756C"/>
    <w:rsid w:val="002B2F42"/>
    <w:rsid w:val="002B5D64"/>
    <w:rsid w:val="002C4A8E"/>
    <w:rsid w:val="002E4E4A"/>
    <w:rsid w:val="002E728F"/>
    <w:rsid w:val="002F3E9A"/>
    <w:rsid w:val="00313138"/>
    <w:rsid w:val="0032036B"/>
    <w:rsid w:val="003250E4"/>
    <w:rsid w:val="003306EB"/>
    <w:rsid w:val="00353700"/>
    <w:rsid w:val="003A1081"/>
    <w:rsid w:val="003B6280"/>
    <w:rsid w:val="003D1810"/>
    <w:rsid w:val="003D6068"/>
    <w:rsid w:val="003E499B"/>
    <w:rsid w:val="003E6C83"/>
    <w:rsid w:val="00402783"/>
    <w:rsid w:val="0041498B"/>
    <w:rsid w:val="004269BA"/>
    <w:rsid w:val="00427363"/>
    <w:rsid w:val="004345ED"/>
    <w:rsid w:val="00444002"/>
    <w:rsid w:val="004535FF"/>
    <w:rsid w:val="00457D2B"/>
    <w:rsid w:val="00464BCF"/>
    <w:rsid w:val="00466301"/>
    <w:rsid w:val="00473559"/>
    <w:rsid w:val="00474203"/>
    <w:rsid w:val="00486D28"/>
    <w:rsid w:val="004A59D7"/>
    <w:rsid w:val="004B5271"/>
    <w:rsid w:val="004F1EE5"/>
    <w:rsid w:val="004F6863"/>
    <w:rsid w:val="00511B8E"/>
    <w:rsid w:val="00513910"/>
    <w:rsid w:val="005149D0"/>
    <w:rsid w:val="00514D76"/>
    <w:rsid w:val="005210DF"/>
    <w:rsid w:val="0054473A"/>
    <w:rsid w:val="005571BD"/>
    <w:rsid w:val="005726DC"/>
    <w:rsid w:val="00584816"/>
    <w:rsid w:val="00594E85"/>
    <w:rsid w:val="00596402"/>
    <w:rsid w:val="005B652D"/>
    <w:rsid w:val="005C1746"/>
    <w:rsid w:val="005D490F"/>
    <w:rsid w:val="005F3229"/>
    <w:rsid w:val="00604893"/>
    <w:rsid w:val="00616B7B"/>
    <w:rsid w:val="006429D8"/>
    <w:rsid w:val="006476F6"/>
    <w:rsid w:val="0067202F"/>
    <w:rsid w:val="00674D4B"/>
    <w:rsid w:val="00690256"/>
    <w:rsid w:val="006A2AD9"/>
    <w:rsid w:val="006B3FE3"/>
    <w:rsid w:val="006C2049"/>
    <w:rsid w:val="006D14C5"/>
    <w:rsid w:val="006D19D9"/>
    <w:rsid w:val="006E2A0B"/>
    <w:rsid w:val="00706665"/>
    <w:rsid w:val="00714F32"/>
    <w:rsid w:val="007250AB"/>
    <w:rsid w:val="00730178"/>
    <w:rsid w:val="007565B6"/>
    <w:rsid w:val="007809B4"/>
    <w:rsid w:val="00787813"/>
    <w:rsid w:val="007961B6"/>
    <w:rsid w:val="007A4773"/>
    <w:rsid w:val="007B2F60"/>
    <w:rsid w:val="007B5A0E"/>
    <w:rsid w:val="007C7BCC"/>
    <w:rsid w:val="007D680C"/>
    <w:rsid w:val="00827149"/>
    <w:rsid w:val="00847D6A"/>
    <w:rsid w:val="0087655A"/>
    <w:rsid w:val="008927F8"/>
    <w:rsid w:val="008C0605"/>
    <w:rsid w:val="008C42BC"/>
    <w:rsid w:val="008C7EC1"/>
    <w:rsid w:val="008D0929"/>
    <w:rsid w:val="008F021A"/>
    <w:rsid w:val="009168E7"/>
    <w:rsid w:val="0095130B"/>
    <w:rsid w:val="0095176D"/>
    <w:rsid w:val="00960C0E"/>
    <w:rsid w:val="00965CAE"/>
    <w:rsid w:val="00975DEF"/>
    <w:rsid w:val="0097731C"/>
    <w:rsid w:val="009777B5"/>
    <w:rsid w:val="00980735"/>
    <w:rsid w:val="00980D45"/>
    <w:rsid w:val="00982DB6"/>
    <w:rsid w:val="009B6A39"/>
    <w:rsid w:val="009C2992"/>
    <w:rsid w:val="009C4BAE"/>
    <w:rsid w:val="009C7BBD"/>
    <w:rsid w:val="009E3723"/>
    <w:rsid w:val="009F303B"/>
    <w:rsid w:val="009F6FB6"/>
    <w:rsid w:val="00A12BD9"/>
    <w:rsid w:val="00A33CAC"/>
    <w:rsid w:val="00A34D86"/>
    <w:rsid w:val="00A46373"/>
    <w:rsid w:val="00A56613"/>
    <w:rsid w:val="00A755F6"/>
    <w:rsid w:val="00A75FFC"/>
    <w:rsid w:val="00A80C4B"/>
    <w:rsid w:val="00AA7C56"/>
    <w:rsid w:val="00AB3679"/>
    <w:rsid w:val="00B02361"/>
    <w:rsid w:val="00B0376B"/>
    <w:rsid w:val="00B55DDD"/>
    <w:rsid w:val="00B60E9D"/>
    <w:rsid w:val="00B630CC"/>
    <w:rsid w:val="00B63751"/>
    <w:rsid w:val="00B71A20"/>
    <w:rsid w:val="00BB34FE"/>
    <w:rsid w:val="00BD176C"/>
    <w:rsid w:val="00BD3FA4"/>
    <w:rsid w:val="00BF1490"/>
    <w:rsid w:val="00C156D7"/>
    <w:rsid w:val="00C15BB9"/>
    <w:rsid w:val="00C21CE8"/>
    <w:rsid w:val="00C45EE6"/>
    <w:rsid w:val="00C66E43"/>
    <w:rsid w:val="00C826F2"/>
    <w:rsid w:val="00C84B4A"/>
    <w:rsid w:val="00CE182F"/>
    <w:rsid w:val="00CE71E4"/>
    <w:rsid w:val="00D00F23"/>
    <w:rsid w:val="00D20885"/>
    <w:rsid w:val="00D322FF"/>
    <w:rsid w:val="00D35040"/>
    <w:rsid w:val="00D56C54"/>
    <w:rsid w:val="00D60AD0"/>
    <w:rsid w:val="00D62669"/>
    <w:rsid w:val="00D62FB4"/>
    <w:rsid w:val="00D74EDF"/>
    <w:rsid w:val="00DB664B"/>
    <w:rsid w:val="00DB7BD9"/>
    <w:rsid w:val="00DC5DAA"/>
    <w:rsid w:val="00DD4440"/>
    <w:rsid w:val="00DE311A"/>
    <w:rsid w:val="00E34D5E"/>
    <w:rsid w:val="00E37435"/>
    <w:rsid w:val="00E43F7E"/>
    <w:rsid w:val="00E72A8B"/>
    <w:rsid w:val="00E76B25"/>
    <w:rsid w:val="00EA6B3A"/>
    <w:rsid w:val="00EB367B"/>
    <w:rsid w:val="00EC165A"/>
    <w:rsid w:val="00ED0C4F"/>
    <w:rsid w:val="00ED456C"/>
    <w:rsid w:val="00EE252A"/>
    <w:rsid w:val="00EE701C"/>
    <w:rsid w:val="00EF4A3F"/>
    <w:rsid w:val="00F01AE3"/>
    <w:rsid w:val="00F42370"/>
    <w:rsid w:val="00F44622"/>
    <w:rsid w:val="00F669D4"/>
    <w:rsid w:val="00F72936"/>
    <w:rsid w:val="00F80E5E"/>
    <w:rsid w:val="00F817C0"/>
    <w:rsid w:val="00F855AE"/>
    <w:rsid w:val="00FA7EF9"/>
    <w:rsid w:val="00FC02D1"/>
    <w:rsid w:val="00FC34CB"/>
    <w:rsid w:val="00FD5709"/>
    <w:rsid w:val="00FE7C1A"/>
    <w:rsid w:val="00FF0B1D"/>
    <w:rsid w:val="00FF5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029D4927"/>
  <w15:chartTrackingRefBased/>
  <w15:docId w15:val="{A2BD32C5-A3DB-444D-B034-4DF4E11F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6F"/>
    <w:rPr>
      <w:rFonts w:ascii="Times New Roman" w:eastAsia="Times New Roman" w:hAnsi="Times New Roman"/>
    </w:rPr>
  </w:style>
  <w:style w:type="paragraph" w:styleId="Ttulo1">
    <w:name w:val="heading 1"/>
    <w:basedOn w:val="Normal"/>
    <w:next w:val="Normal"/>
    <w:link w:val="Ttulo1Char"/>
    <w:qFormat/>
    <w:locked/>
    <w:rsid w:val="00F01AE3"/>
    <w:pPr>
      <w:keepNext/>
      <w:spacing w:before="240" w:after="60"/>
      <w:outlineLvl w:val="0"/>
    </w:pPr>
    <w:rPr>
      <w:rFonts w:ascii="Arial" w:hAnsi="Arial" w:cs="Arial"/>
      <w:b/>
      <w:bCs/>
      <w:kern w:val="32"/>
      <w:sz w:val="32"/>
      <w:szCs w:val="32"/>
    </w:rPr>
  </w:style>
  <w:style w:type="paragraph" w:styleId="Ttulo3">
    <w:name w:val="heading 3"/>
    <w:basedOn w:val="Normal"/>
    <w:next w:val="Normal"/>
    <w:qFormat/>
    <w:locked/>
    <w:rsid w:val="003D1810"/>
    <w:pPr>
      <w:keepNext/>
      <w:spacing w:before="240" w:after="60"/>
      <w:outlineLvl w:val="2"/>
    </w:pPr>
    <w:rPr>
      <w:rFonts w:ascii="Arial" w:hAnsi="Arial" w:cs="Arial"/>
      <w:b/>
      <w:bCs/>
      <w:sz w:val="26"/>
      <w:szCs w:val="26"/>
    </w:rPr>
  </w:style>
  <w:style w:type="paragraph" w:styleId="Ttulo7">
    <w:name w:val="heading 7"/>
    <w:basedOn w:val="Normal"/>
    <w:next w:val="Normal"/>
    <w:link w:val="Ttulo7Char"/>
    <w:qFormat/>
    <w:rsid w:val="000A546F"/>
    <w:pPr>
      <w:keepNext/>
      <w:ind w:right="284"/>
      <w:outlineLvl w:val="6"/>
    </w:pPr>
    <w:rPr>
      <w:rFonts w:ascii="Verdana" w:hAnsi="Verdana"/>
      <w:color w:val="000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3E6C83"/>
    <w:rPr>
      <w:rFonts w:ascii="Cambria" w:hAnsi="Cambria" w:cs="Times New Roman"/>
      <w:b/>
      <w:bCs/>
      <w:kern w:val="32"/>
      <w:sz w:val="32"/>
      <w:szCs w:val="32"/>
    </w:rPr>
  </w:style>
  <w:style w:type="character" w:customStyle="1" w:styleId="Ttulo7Char">
    <w:name w:val="Título 7 Char"/>
    <w:basedOn w:val="Fontepargpadro"/>
    <w:link w:val="Ttulo7"/>
    <w:locked/>
    <w:rsid w:val="000A546F"/>
    <w:rPr>
      <w:rFonts w:ascii="Verdana" w:hAnsi="Verdana" w:cs="Times New Roman"/>
      <w:color w:val="000080"/>
      <w:sz w:val="20"/>
      <w:szCs w:val="20"/>
      <w:lang w:val="x-none" w:eastAsia="pt-BR"/>
    </w:rPr>
  </w:style>
  <w:style w:type="paragraph" w:styleId="Textodebalo">
    <w:name w:val="Balloon Text"/>
    <w:basedOn w:val="Normal"/>
    <w:link w:val="TextodebaloChar"/>
    <w:semiHidden/>
    <w:rsid w:val="00706665"/>
    <w:rPr>
      <w:rFonts w:ascii="Tahoma" w:eastAsia="Calibri" w:hAnsi="Tahoma" w:cs="Tahoma"/>
      <w:sz w:val="16"/>
      <w:szCs w:val="16"/>
      <w:lang w:eastAsia="en-US"/>
    </w:rPr>
  </w:style>
  <w:style w:type="character" w:customStyle="1" w:styleId="TextodebaloChar">
    <w:name w:val="Texto de balão Char"/>
    <w:basedOn w:val="Fontepargpadro"/>
    <w:link w:val="Textodebalo"/>
    <w:semiHidden/>
    <w:locked/>
    <w:rsid w:val="00706665"/>
    <w:rPr>
      <w:rFonts w:ascii="Tahoma" w:hAnsi="Tahoma" w:cs="Tahoma"/>
      <w:sz w:val="16"/>
      <w:szCs w:val="16"/>
    </w:rPr>
  </w:style>
  <w:style w:type="paragraph" w:styleId="Cabealho">
    <w:name w:val="header"/>
    <w:basedOn w:val="Normal"/>
    <w:link w:val="CabealhoChar"/>
    <w:rsid w:val="00706665"/>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locked/>
    <w:rsid w:val="00706665"/>
    <w:rPr>
      <w:rFonts w:cs="Times New Roman"/>
    </w:rPr>
  </w:style>
  <w:style w:type="paragraph" w:styleId="Rodap">
    <w:name w:val="footer"/>
    <w:basedOn w:val="Normal"/>
    <w:link w:val="RodapChar"/>
    <w:rsid w:val="00706665"/>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locked/>
    <w:rsid w:val="00706665"/>
    <w:rPr>
      <w:rFonts w:cs="Times New Roman"/>
    </w:rPr>
  </w:style>
  <w:style w:type="table" w:styleId="Tabelacomgrade">
    <w:name w:val="Table Grid"/>
    <w:basedOn w:val="Tabelanormal"/>
    <w:rsid w:val="009C2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2">
    <w:name w:val="Body Text Indent 2"/>
    <w:basedOn w:val="Normal"/>
    <w:link w:val="Recuodecorpodetexto2Char"/>
    <w:rsid w:val="000A546F"/>
    <w:pPr>
      <w:ind w:firstLine="851"/>
      <w:jc w:val="both"/>
    </w:pPr>
    <w:rPr>
      <w:b/>
      <w:color w:val="000080"/>
      <w:sz w:val="24"/>
    </w:rPr>
  </w:style>
  <w:style w:type="character" w:customStyle="1" w:styleId="Recuodecorpodetexto2Char">
    <w:name w:val="Recuo de corpo de texto 2 Char"/>
    <w:basedOn w:val="Fontepargpadro"/>
    <w:link w:val="Recuodecorpodetexto2"/>
    <w:locked/>
    <w:rsid w:val="000A546F"/>
    <w:rPr>
      <w:rFonts w:ascii="Times New Roman" w:hAnsi="Times New Roman" w:cs="Times New Roman"/>
      <w:b/>
      <w:color w:val="000080"/>
      <w:sz w:val="20"/>
      <w:szCs w:val="20"/>
      <w:lang w:val="x-none" w:eastAsia="pt-BR"/>
    </w:rPr>
  </w:style>
  <w:style w:type="paragraph" w:customStyle="1" w:styleId="Normalnumerado">
    <w:name w:val="Normal numerado"/>
    <w:basedOn w:val="Normal"/>
    <w:rsid w:val="009F303B"/>
    <w:pPr>
      <w:numPr>
        <w:numId w:val="1"/>
      </w:numPr>
      <w:spacing w:after="120"/>
      <w:jc w:val="both"/>
    </w:pPr>
  </w:style>
  <w:style w:type="paragraph" w:styleId="MapadoDocumento">
    <w:name w:val="Document Map"/>
    <w:basedOn w:val="Normal"/>
    <w:link w:val="MapadoDocumentoChar"/>
    <w:semiHidden/>
    <w:rsid w:val="00FE7C1A"/>
    <w:pPr>
      <w:shd w:val="clear" w:color="auto" w:fill="000080"/>
    </w:pPr>
    <w:rPr>
      <w:rFonts w:ascii="Tahoma" w:hAnsi="Tahoma" w:cs="Tahoma"/>
    </w:rPr>
  </w:style>
  <w:style w:type="character" w:customStyle="1" w:styleId="MapadoDocumentoChar">
    <w:name w:val="Mapa do Documento Char"/>
    <w:basedOn w:val="Fontepargpadro"/>
    <w:link w:val="MapadoDocumento"/>
    <w:semiHidden/>
    <w:locked/>
    <w:rsid w:val="003E6C83"/>
    <w:rPr>
      <w:rFonts w:ascii="Times New Roman" w:hAnsi="Times New Roman" w:cs="Times New Roman"/>
      <w:sz w:val="2"/>
    </w:rPr>
  </w:style>
  <w:style w:type="paragraph" w:styleId="TextosemFormatao">
    <w:name w:val="Plain Text"/>
    <w:basedOn w:val="Normal"/>
    <w:link w:val="TextosemFormataoChar"/>
    <w:semiHidden/>
    <w:rsid w:val="00F01AE3"/>
    <w:pPr>
      <w:spacing w:after="120"/>
      <w:ind w:firstLine="709"/>
      <w:jc w:val="both"/>
    </w:pPr>
    <w:rPr>
      <w:rFonts w:ascii="Arial" w:eastAsia="Calibri" w:hAnsi="Arial" w:cs="Courier New"/>
      <w:sz w:val="24"/>
    </w:rPr>
  </w:style>
  <w:style w:type="character" w:customStyle="1" w:styleId="TextosemFormataoChar">
    <w:name w:val="Texto sem Formatação Char"/>
    <w:basedOn w:val="Fontepargpadro"/>
    <w:link w:val="TextosemFormatao"/>
    <w:semiHidden/>
    <w:locked/>
    <w:rsid w:val="003E6C83"/>
    <w:rPr>
      <w:rFonts w:ascii="Courier New" w:hAnsi="Courier New" w:cs="Courier New"/>
      <w:sz w:val="20"/>
      <w:szCs w:val="20"/>
    </w:rPr>
  </w:style>
  <w:style w:type="paragraph" w:styleId="Recuodecorpodetexto">
    <w:name w:val="Body Text Indent"/>
    <w:basedOn w:val="Normal"/>
    <w:link w:val="RecuodecorpodetextoChar"/>
    <w:rsid w:val="00F01AE3"/>
    <w:pPr>
      <w:spacing w:after="120"/>
      <w:ind w:left="283"/>
    </w:pPr>
  </w:style>
  <w:style w:type="character" w:customStyle="1" w:styleId="RecuodecorpodetextoChar">
    <w:name w:val="Recuo de corpo de texto Char"/>
    <w:basedOn w:val="Fontepargpadro"/>
    <w:link w:val="Recuodecorpodetexto"/>
    <w:semiHidden/>
    <w:locked/>
    <w:rsid w:val="003E6C83"/>
    <w:rPr>
      <w:rFonts w:ascii="Times New Roman" w:hAnsi="Times New Roman" w:cs="Times New Roman"/>
      <w:sz w:val="20"/>
      <w:szCs w:val="20"/>
    </w:rPr>
  </w:style>
  <w:style w:type="character" w:styleId="Nmerodepgina">
    <w:name w:val="page number"/>
    <w:basedOn w:val="Fontepargpadro"/>
    <w:rsid w:val="00D60AD0"/>
    <w:rPr>
      <w:rFonts w:cs="Times New Roman"/>
    </w:rPr>
  </w:style>
  <w:style w:type="paragraph" w:customStyle="1" w:styleId="s18">
    <w:name w:val="s18"/>
    <w:basedOn w:val="Normal"/>
    <w:rsid w:val="000D663E"/>
    <w:pPr>
      <w:spacing w:before="100" w:beforeAutospacing="1" w:after="100" w:afterAutospacing="1"/>
    </w:pPr>
    <w:rPr>
      <w:rFonts w:ascii="Arial Unicode MS" w:eastAsia="Arial Unicode MS" w:hAnsi="Arial Unicode MS" w:cs="Arial Unicode MS"/>
      <w:color w:val="000000"/>
      <w:sz w:val="24"/>
      <w:szCs w:val="24"/>
    </w:rPr>
  </w:style>
  <w:style w:type="character" w:styleId="Refdecomentrio">
    <w:name w:val="annotation reference"/>
    <w:basedOn w:val="Fontepargpadro"/>
    <w:rsid w:val="00D00F23"/>
    <w:rPr>
      <w:sz w:val="16"/>
      <w:szCs w:val="16"/>
    </w:rPr>
  </w:style>
  <w:style w:type="paragraph" w:styleId="Textodecomentrio">
    <w:name w:val="annotation text"/>
    <w:basedOn w:val="Normal"/>
    <w:link w:val="TextodecomentrioChar"/>
    <w:rsid w:val="00D00F23"/>
    <w:pPr>
      <w:spacing w:after="120"/>
      <w:jc w:val="both"/>
    </w:pPr>
    <w:rPr>
      <w:rFonts w:ascii="Arial" w:hAnsi="Arial"/>
    </w:rPr>
  </w:style>
  <w:style w:type="character" w:customStyle="1" w:styleId="TextodecomentrioChar">
    <w:name w:val="Texto de comentário Char"/>
    <w:basedOn w:val="Fontepargpadro"/>
    <w:link w:val="Textodecomentrio"/>
    <w:rsid w:val="00D00F23"/>
    <w:rPr>
      <w:rFonts w:ascii="Arial" w:hAnsi="Arial"/>
      <w:lang w:val="pt-BR" w:eastAsia="pt-BR" w:bidi="ar-SA"/>
    </w:rPr>
  </w:style>
  <w:style w:type="character" w:customStyle="1" w:styleId="PargrafodetextoChar">
    <w:name w:val="Parágrafo de texto Char"/>
    <w:link w:val="Pargrafodetexto"/>
    <w:locked/>
    <w:rsid w:val="00D56C54"/>
    <w:rPr>
      <w:rFonts w:ascii="Arial" w:eastAsia="Times New Roman" w:hAnsi="Arial" w:cs="Arial"/>
      <w:sz w:val="24"/>
      <w:szCs w:val="24"/>
    </w:rPr>
  </w:style>
  <w:style w:type="paragraph" w:customStyle="1" w:styleId="Pargrafodetexto">
    <w:name w:val="Parágrafo de texto"/>
    <w:link w:val="PargrafodetextoChar"/>
    <w:qFormat/>
    <w:rsid w:val="00D56C54"/>
    <w:pPr>
      <w:spacing w:before="200" w:line="360" w:lineRule="auto"/>
      <w:ind w:firstLine="1134"/>
      <w:jc w:val="both"/>
    </w:pPr>
    <w:rPr>
      <w:rFonts w:ascii="Arial" w:eastAsia="Times New Roman" w:hAnsi="Arial" w:cs="Arial"/>
      <w:sz w:val="24"/>
      <w:szCs w:val="24"/>
    </w:rPr>
  </w:style>
  <w:style w:type="paragraph" w:styleId="Citao">
    <w:name w:val="Quote"/>
    <w:basedOn w:val="Normal"/>
    <w:next w:val="Normal"/>
    <w:link w:val="CitaoChar"/>
    <w:uiPriority w:val="29"/>
    <w:qFormat/>
    <w:rsid w:val="00092866"/>
    <w:pPr>
      <w:spacing w:before="200" w:after="160"/>
      <w:ind w:left="864" w:right="864"/>
      <w:jc w:val="center"/>
    </w:pPr>
    <w:rPr>
      <w:rFonts w:ascii="Arial" w:hAnsi="Arial"/>
      <w:iCs/>
      <w:color w:val="404040" w:themeColor="text1" w:themeTint="BF"/>
      <w:sz w:val="22"/>
    </w:rPr>
  </w:style>
  <w:style w:type="character" w:customStyle="1" w:styleId="CitaoChar">
    <w:name w:val="Citação Char"/>
    <w:basedOn w:val="Fontepargpadro"/>
    <w:link w:val="Citao"/>
    <w:uiPriority w:val="29"/>
    <w:rsid w:val="00092866"/>
    <w:rPr>
      <w:rFonts w:ascii="Arial" w:eastAsia="Times New Roman" w:hAnsi="Arial"/>
      <w:iCs/>
      <w:color w:val="404040" w:themeColor="text1" w:themeTint="BF"/>
      <w:sz w:val="22"/>
    </w:rPr>
  </w:style>
  <w:style w:type="paragraph" w:styleId="Textodenotaderodap">
    <w:name w:val="footnote text"/>
    <w:basedOn w:val="Normal"/>
    <w:link w:val="TextodenotaderodapChar"/>
    <w:uiPriority w:val="99"/>
    <w:unhideWhenUsed/>
    <w:qFormat/>
    <w:rsid w:val="002B2F42"/>
  </w:style>
  <w:style w:type="character" w:customStyle="1" w:styleId="TextodenotaderodapChar">
    <w:name w:val="Texto de nota de rodapé Char"/>
    <w:basedOn w:val="Fontepargpadro"/>
    <w:link w:val="Textodenotaderodap"/>
    <w:uiPriority w:val="99"/>
    <w:rsid w:val="002B2F42"/>
    <w:rPr>
      <w:rFonts w:ascii="Times New Roman" w:eastAsia="Times New Roman" w:hAnsi="Times New Roman"/>
    </w:rPr>
  </w:style>
  <w:style w:type="character" w:styleId="Refdenotaderodap">
    <w:name w:val="footnote reference"/>
    <w:unhideWhenUsed/>
    <w:rsid w:val="002B2F42"/>
    <w:rPr>
      <w:vertAlign w:val="superscript"/>
    </w:rPr>
  </w:style>
  <w:style w:type="character" w:styleId="Hyperlink">
    <w:name w:val="Hyperlink"/>
    <w:basedOn w:val="Fontepargpadro"/>
    <w:uiPriority w:val="99"/>
    <w:unhideWhenUsed/>
    <w:rsid w:val="006D1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01455858">
      <w:bodyDiv w:val="1"/>
      <w:marLeft w:val="0"/>
      <w:marRight w:val="0"/>
      <w:marTop w:val="0"/>
      <w:marBottom w:val="0"/>
      <w:divBdr>
        <w:top w:val="none" w:sz="0" w:space="0" w:color="auto"/>
        <w:left w:val="none" w:sz="0" w:space="0" w:color="auto"/>
        <w:bottom w:val="none" w:sz="0" w:space="0" w:color="auto"/>
        <w:right w:val="none" w:sz="0" w:space="0" w:color="auto"/>
      </w:divBdr>
    </w:div>
    <w:div w:id="6814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LCP/Lcp14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FAA9-784B-4689-95DE-482F32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10114</Characters>
  <Application>Microsoft Office Word</Application>
  <DocSecurity>4</DocSecurity>
  <Lines>84</Lines>
  <Paragraphs>23</Paragraphs>
  <ScaleCrop>false</ScaleCrop>
  <HeadingPairs>
    <vt:vector size="2" baseType="variant">
      <vt:variant>
        <vt:lpstr>Título</vt:lpstr>
      </vt:variant>
      <vt:variant>
        <vt:i4>1</vt:i4>
      </vt:variant>
    </vt:vector>
  </HeadingPairs>
  <TitlesOfParts>
    <vt:vector size="1" baseType="lpstr">
      <vt:lpstr>Ofício nº</vt:lpstr>
    </vt:vector>
  </TitlesOfParts>
  <Company>Senado Federal</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isabelas</dc:creator>
  <cp:keywords/>
  <dc:description/>
  <cp:lastModifiedBy>Alexandre Bastos de Melo</cp:lastModifiedBy>
  <cp:revision>2</cp:revision>
  <cp:lastPrinted>2012-08-30T20:53:00Z</cp:lastPrinted>
  <dcterms:created xsi:type="dcterms:W3CDTF">2021-05-12T20:19:00Z</dcterms:created>
  <dcterms:modified xsi:type="dcterms:W3CDTF">2021-05-12T20:19:00Z</dcterms:modified>
</cp:coreProperties>
</file>