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4F" w:rsidRDefault="00713C4F" w:rsidP="009E55D5">
      <w:pPr>
        <w:pStyle w:val="01-Minuta-CLG"/>
      </w:pPr>
    </w:p>
    <w:p w:rsidR="009E55D5" w:rsidRDefault="009E55D5" w:rsidP="009E55D5">
      <w:pPr>
        <w:pStyle w:val="01-Minuta-CLG"/>
      </w:pPr>
    </w:p>
    <w:p w:rsidR="00E92811" w:rsidRDefault="00E92811" w:rsidP="00E92811">
      <w:pPr>
        <w:pStyle w:val="02-TtuloPrincipal-CLG"/>
      </w:pPr>
      <w:r>
        <w:t xml:space="preserve">PARECER Nº     </w:t>
      </w:r>
      <w:proofErr w:type="gramStart"/>
      <w:r>
        <w:t xml:space="preserve">  ,</w:t>
      </w:r>
      <w:proofErr w:type="gramEnd"/>
      <w:r>
        <w:t xml:space="preserve"> DE 2022</w:t>
      </w:r>
    </w:p>
    <w:p w:rsidR="00E92811" w:rsidRDefault="00D876DF" w:rsidP="00D876DF">
      <w:pPr>
        <w:pStyle w:val="03-Ementa-CLG"/>
      </w:pPr>
      <w:bookmarkStart w:id="0" w:name="nome_comissao"/>
      <w:bookmarkStart w:id="1" w:name="sigla_comissao"/>
      <w:r>
        <w:t>Da COMISSÃO</w:t>
      </w:r>
      <w:bookmarkEnd w:id="0"/>
      <w:bookmarkEnd w:id="1"/>
      <w:r>
        <w:t xml:space="preserve"> </w:t>
      </w:r>
      <w:r w:rsidR="00E92811">
        <w:t>NÍSIA FLORESTA</w:t>
      </w:r>
      <w:r>
        <w:t xml:space="preserve">, </w:t>
      </w:r>
      <w:r w:rsidR="00E92811" w:rsidRPr="0019529C">
        <w:t>so</w:t>
      </w:r>
      <w:smartTag w:uri="urn:schemas-microsoft-com:office:smarttags" w:element="PersonName">
        <w:r w:rsidR="00E92811" w:rsidRPr="0019529C">
          <w:t>br</w:t>
        </w:r>
      </w:smartTag>
      <w:r w:rsidR="00E92811" w:rsidRPr="0019529C">
        <w:t>e</w:t>
      </w:r>
      <w:r w:rsidR="00E92811">
        <w:t xml:space="preserve"> o Projeto de Lei do Senado Jovem nº 1, de 2022, da Comissão Cecília Meireles, que </w:t>
      </w:r>
      <w:r w:rsidR="00E92811">
        <w:rPr>
          <w:i/>
        </w:rPr>
        <w:t>i</w:t>
      </w:r>
      <w:r w:rsidR="00E92811" w:rsidRPr="009C61C9">
        <w:rPr>
          <w:i/>
        </w:rPr>
        <w:t xml:space="preserve">nstitui a Semana </w:t>
      </w:r>
      <w:bookmarkStart w:id="2" w:name="_GoBack"/>
      <w:r w:rsidR="00E92811" w:rsidRPr="009C61C9">
        <w:rPr>
          <w:i/>
        </w:rPr>
        <w:t xml:space="preserve">Nacional de Incentivo à Educação Política no </w:t>
      </w:r>
      <w:bookmarkEnd w:id="2"/>
      <w:r w:rsidR="00E92811" w:rsidRPr="009C61C9">
        <w:rPr>
          <w:i/>
        </w:rPr>
        <w:t>âmbito do ensino fundamental II e médio no país</w:t>
      </w:r>
      <w:r w:rsidR="00E92811">
        <w:t>.</w:t>
      </w:r>
    </w:p>
    <w:p w:rsidR="00D876DF" w:rsidRPr="00F56B98" w:rsidRDefault="00D876DF" w:rsidP="00D876DF">
      <w:pPr>
        <w:pStyle w:val="03-Ementa-CLG"/>
      </w:pPr>
    </w:p>
    <w:p w:rsidR="00D876DF" w:rsidRDefault="00036758" w:rsidP="00D876DF">
      <w:pPr>
        <w:pStyle w:val="04-Relatoria-CLG"/>
      </w:pPr>
      <w:r>
        <w:t>RELATOR</w:t>
      </w:r>
      <w:r w:rsidR="00E92811">
        <w:t>A</w:t>
      </w:r>
      <w:r>
        <w:t>: Jovem Senador</w:t>
      </w:r>
      <w:r w:rsidR="00E92811">
        <w:t>a</w:t>
      </w:r>
      <w:r w:rsidR="00D876DF">
        <w:t xml:space="preserve"> </w:t>
      </w:r>
      <w:r w:rsidR="00E92811">
        <w:t>ESTHEFANE FEITOSA</w:t>
      </w:r>
    </w:p>
    <w:p w:rsidR="00D876DF" w:rsidRDefault="00D876DF" w:rsidP="00D876DF">
      <w:pPr>
        <w:pStyle w:val="05-Subttulo-CLG"/>
      </w:pPr>
      <w:r>
        <w:t>I – RELATÓRIO</w:t>
      </w:r>
    </w:p>
    <w:p w:rsidR="00E92811" w:rsidRDefault="00E92811" w:rsidP="00E92811">
      <w:pPr>
        <w:pStyle w:val="06-Pargrafodetexto-CLG"/>
        <w:rPr>
          <w:i/>
        </w:rPr>
      </w:pPr>
      <w:r w:rsidRPr="00DD3CDD">
        <w:t>Vem a</w:t>
      </w:r>
      <w:r>
        <w:t>o</w:t>
      </w:r>
      <w:r w:rsidRPr="00DD3CDD">
        <w:t xml:space="preserve"> exame desta Comissão</w:t>
      </w:r>
      <w:r>
        <w:t xml:space="preserve"> o Projeto de Lei do Senado Jovem (PLSJ) nº 1, de 2022, que </w:t>
      </w:r>
      <w:r>
        <w:rPr>
          <w:i/>
        </w:rPr>
        <w:t>i</w:t>
      </w:r>
      <w:r w:rsidRPr="009C61C9">
        <w:rPr>
          <w:i/>
        </w:rPr>
        <w:t>nstitui a Semana Nacional de Incentivo à Educação Política no âmbito do ensino fundamental II e médio no país</w:t>
      </w:r>
      <w:r w:rsidRPr="004C072C">
        <w:t>.</w:t>
      </w:r>
      <w:r>
        <w:rPr>
          <w:i/>
        </w:rPr>
        <w:t xml:space="preserve"> </w:t>
      </w:r>
    </w:p>
    <w:p w:rsidR="00E92811" w:rsidRDefault="00E92811" w:rsidP="00E92811">
      <w:pPr>
        <w:pStyle w:val="06-Pargrafodetexto-CLG"/>
      </w:pPr>
      <w:r>
        <w:t>O projeto é constituído de quatro artigos.</w:t>
      </w:r>
    </w:p>
    <w:p w:rsidR="00E92811" w:rsidRDefault="00E92811" w:rsidP="00E92811">
      <w:pPr>
        <w:pStyle w:val="06-Pargrafodetexto-CLG"/>
      </w:pPr>
      <w:r>
        <w:t>O art. 1º dispõe sobre a instituição da Semana Nacional de Incentivo à Educação Política, a ser realizada nas escolas de ensino fundamental, contemplando os dois anos finais dessa etapa educacional, e de ensino médio, com o objetivo de conscientizar os estudantes sobre temas relacionados à política nacional, como aqueles que o dispositivo enumera em seus sete incisos.</w:t>
      </w:r>
    </w:p>
    <w:p w:rsidR="00E92811" w:rsidRDefault="00E92811" w:rsidP="00E92811">
      <w:pPr>
        <w:pStyle w:val="06-Pargrafodetexto-CLG"/>
      </w:pPr>
      <w:r>
        <w:t>O art. 2º estabelece a data de realização do evento proposto – na semana que compreender o dia 5 de outubro – e lista as atividades que serão promovidas no âmbito da efeméride: seminários, palestras, oficinas, atividades letivas e visitações a casas legislativas.</w:t>
      </w:r>
    </w:p>
    <w:p w:rsidR="00E92811" w:rsidRDefault="00E92811" w:rsidP="00E92811">
      <w:pPr>
        <w:pStyle w:val="06-Pargrafodetexto-CLG"/>
      </w:pPr>
      <w:r>
        <w:lastRenderedPageBreak/>
        <w:t>O art. 3º determina a elaboração de relatório de atividades relativas à realização do evento, ao qual será dada ampla divulgação, inclusive nos sites eletrônicos dos órgãos de educação dos entes federativos.</w:t>
      </w:r>
    </w:p>
    <w:p w:rsidR="00E92811" w:rsidRDefault="00E92811" w:rsidP="00E92811">
      <w:pPr>
        <w:pStyle w:val="06-Pargrafodetexto-CLG"/>
      </w:pPr>
      <w:r>
        <w:t>O art. 4º indica que a lei oriunda da aprovação do projeto entrará em vigor quando de sua publicação e que produzirá efeitos a partir do ano subsequente.</w:t>
      </w:r>
    </w:p>
    <w:p w:rsidR="00E92811" w:rsidRPr="00E92811" w:rsidRDefault="00E92811" w:rsidP="00E92811">
      <w:pPr>
        <w:pStyle w:val="06-Pargrafodetexto-CLG"/>
      </w:pPr>
      <w:r>
        <w:t xml:space="preserve">A justificação do projeto ressalta que atualmente os jovens não demonstram, de maneira geral, interesse pela política e que é necessário promover uma mudança nesse quadro, com estímulo ao desenvolvimento de capacidades políticas na nova geração, para que ela possa ocupar os espaços públicos no País. </w:t>
      </w:r>
    </w:p>
    <w:p w:rsidR="00E92811" w:rsidRPr="00AB6F0E" w:rsidRDefault="00E92811" w:rsidP="00E92811">
      <w:pPr>
        <w:pStyle w:val="06-Pargrafodetexto-CLG"/>
        <w:rPr>
          <w:szCs w:val="28"/>
        </w:rPr>
      </w:pPr>
      <w:r w:rsidRPr="002673BB">
        <w:rPr>
          <w:szCs w:val="28"/>
          <w:shd w:val="clear" w:color="auto" w:fill="FFFFFF"/>
        </w:rPr>
        <w:t>A proposição tramitará</w:t>
      </w:r>
      <w:r>
        <w:rPr>
          <w:szCs w:val="28"/>
          <w:shd w:val="clear" w:color="auto" w:fill="FFFFFF"/>
        </w:rPr>
        <w:t xml:space="preserve"> nesta Comissão, seguindo posteriormente ao Plenário.</w:t>
      </w:r>
    </w:p>
    <w:p w:rsidR="009E55D5" w:rsidRPr="005523B9" w:rsidRDefault="009E55D5" w:rsidP="009E55D5">
      <w:pPr>
        <w:pStyle w:val="05-Subttulo-CLG"/>
      </w:pPr>
      <w:r w:rsidRPr="005523B9">
        <w:t>II – ANÁLISE</w:t>
      </w:r>
    </w:p>
    <w:p w:rsidR="00293C96" w:rsidRPr="00445A12" w:rsidRDefault="00293C96" w:rsidP="00293C96">
      <w:pPr>
        <w:pStyle w:val="06-Pargrafodetexto-CLG"/>
      </w:pPr>
      <w:r w:rsidRPr="00445A12">
        <w:t xml:space="preserve">Cabe a esta Comissão, </w:t>
      </w:r>
      <w:r>
        <w:t>analisar e deliberar sobre a matéria.</w:t>
      </w:r>
    </w:p>
    <w:p w:rsidR="00293C96" w:rsidRPr="002673BB" w:rsidRDefault="00293C96" w:rsidP="00293C96">
      <w:pPr>
        <w:pStyle w:val="06-Pargrafodetexto-CLG"/>
        <w:rPr>
          <w:rFonts w:ascii="Times" w:hAnsi="Times"/>
          <w:spacing w:val="-4"/>
        </w:rPr>
      </w:pPr>
      <w:r>
        <w:t>O projeto não apresenta nenhum óbice de natureza constitucional e jurídica, está redigido em</w:t>
      </w:r>
      <w:r>
        <w:rPr>
          <w:rFonts w:ascii="Times" w:hAnsi="Times"/>
          <w:spacing w:val="-4"/>
        </w:rPr>
        <w:t xml:space="preserve"> boa técnica legislativa</w:t>
      </w:r>
      <w:r>
        <w:t xml:space="preserve"> e não conflita com disposições regimentais</w:t>
      </w:r>
      <w:r w:rsidRPr="002C3EBF">
        <w:rPr>
          <w:spacing w:val="-4"/>
        </w:rPr>
        <w:t>.</w:t>
      </w:r>
    </w:p>
    <w:p w:rsidR="00293C96" w:rsidRDefault="00293C96" w:rsidP="00293C96">
      <w:pPr>
        <w:pStyle w:val="06-Pargrafodetexto-CLG"/>
      </w:pPr>
      <w:r>
        <w:t>Não está vedada a iniciativa parlamentar para a apresentação de proposição versando so</w:t>
      </w:r>
      <w:smartTag w:uri="urn:schemas-microsoft-com:office:smarttags" w:element="PersonName">
        <w:r>
          <w:t>br</w:t>
        </w:r>
      </w:smartTag>
      <w:r>
        <w:t xml:space="preserve">e a matéria em foco, e, dessa forma, não há afronta aos </w:t>
      </w:r>
      <w:proofErr w:type="spellStart"/>
      <w:r>
        <w:t>arts</w:t>
      </w:r>
      <w:proofErr w:type="spellEnd"/>
      <w:r>
        <w:t>. 61 e 84 da Constituição Federal.</w:t>
      </w:r>
    </w:p>
    <w:p w:rsidR="00293C96" w:rsidRDefault="00293C96" w:rsidP="00293C96">
      <w:pPr>
        <w:pStyle w:val="06-Pargrafodetexto-CLG"/>
      </w:pPr>
      <w:r>
        <w:t>Dessa maneira, a intenção contida no projeto encontra amparo nos dispositivos constitucionais. Portanto, é compatível com as normas constitucionais a instituição da Semana Nacional de Incentivo à Educação Política.</w:t>
      </w:r>
    </w:p>
    <w:p w:rsidR="00737874" w:rsidRDefault="00737874" w:rsidP="00737874">
      <w:pPr>
        <w:pStyle w:val="06-Pargrafodetexto-CLG"/>
      </w:pPr>
      <w:r>
        <w:t xml:space="preserve">As exigências contidas nos </w:t>
      </w:r>
      <w:proofErr w:type="spellStart"/>
      <w:r>
        <w:t>arts</w:t>
      </w:r>
      <w:proofErr w:type="spellEnd"/>
      <w:r>
        <w:t>. 2º e 4º da Lei nº 12.345, de 9 de dezembro de 2010, que determinam a realização de audiência pública com a finalidade de definir o caráter de alta significação da efeméride proposta, poderão ser supridas pela Comissão de Direitos Humanos e Legislação Participativa do Senado Federal (CDH), antes da conversão de eventual Sugestão Legislativa decorrente deste PLSJ em Projeto de Lei daquela Comissão.</w:t>
      </w:r>
    </w:p>
    <w:p w:rsidR="00737874" w:rsidRDefault="00737874" w:rsidP="00737874">
      <w:pPr>
        <w:pStyle w:val="06-Pargrafodetexto-CLG"/>
      </w:pPr>
      <w:r w:rsidRPr="007B6473">
        <w:lastRenderedPageBreak/>
        <w:t xml:space="preserve">Quanto ao mérito, </w:t>
      </w:r>
      <w:r>
        <w:t>ressaltamos que a lei que resultar da aprovação do projeto poderá auxiliar na conscientização dos jovens estudantes sobre a importância da participação política e da preocupação com assuntos de interesse nacional.</w:t>
      </w:r>
    </w:p>
    <w:p w:rsidR="00313A0E" w:rsidRDefault="00737874" w:rsidP="00293C96">
      <w:pPr>
        <w:pStyle w:val="06-Pargrafodetexto-CLG"/>
      </w:pPr>
      <w:r>
        <w:t xml:space="preserve">Além disso, a </w:t>
      </w:r>
      <w:r w:rsidR="00FA70C9">
        <w:t>proposição visa ao</w:t>
      </w:r>
      <w:r>
        <w:t xml:space="preserve"> combate à desinformaç</w:t>
      </w:r>
      <w:r w:rsidR="00FA70C9">
        <w:t>ão r</w:t>
      </w:r>
      <w:r>
        <w:t xml:space="preserve">ecorrente </w:t>
      </w:r>
      <w:r w:rsidR="00FA70C9">
        <w:t>sobre a</w:t>
      </w:r>
      <w:r>
        <w:t xml:space="preserve"> política brasileira, </w:t>
      </w:r>
      <w:r w:rsidR="00313A0E">
        <w:t xml:space="preserve">tendo em vista a atual conjuntura em que são disseminados conteúdos errôneos acerca do funcionamento das instituições estatais. </w:t>
      </w:r>
    </w:p>
    <w:p w:rsidR="003E4829" w:rsidRDefault="00FA70C9" w:rsidP="00313A0E">
      <w:pPr>
        <w:pStyle w:val="06-Pargrafodetexto-CLG"/>
      </w:pPr>
      <w:r>
        <w:t>Buscando ampliar os horizontes políticos da camada jovem brasileira</w:t>
      </w:r>
      <w:r w:rsidR="00313A0E">
        <w:t xml:space="preserve">, de modo que </w:t>
      </w:r>
      <w:r>
        <w:t>exerçam a cidadania de forma mai</w:t>
      </w:r>
      <w:r w:rsidR="00313A0E">
        <w:t>s consciente e participativa, o PLSJ possibilita</w:t>
      </w:r>
      <w:r>
        <w:t xml:space="preserve"> o acesso à educação política de qualidade</w:t>
      </w:r>
      <w:r w:rsidR="00313A0E">
        <w:t xml:space="preserve">, com vistas a reacender o encantamento </w:t>
      </w:r>
      <w:r w:rsidR="00CE1452">
        <w:t>com a política,</w:t>
      </w:r>
      <w:r w:rsidR="00313A0E">
        <w:t xml:space="preserve"> que é a principal ferramenta para a transformação da sociedade</w:t>
      </w:r>
      <w:r w:rsidR="003E4829">
        <w:t>.</w:t>
      </w:r>
    </w:p>
    <w:p w:rsidR="003E4829" w:rsidRDefault="003E4829" w:rsidP="003E4829">
      <w:pPr>
        <w:pStyle w:val="06-Pargrafodetexto-CLG"/>
      </w:pPr>
      <w:r>
        <w:t>Apontamos, no entanto, a necessidade de aperfeiçoamentos na proposição. Sua justificação evidencia que o intuito dos proponentes é instituir a realização anual da dita Semana, mas tal periodicidade não está explicitada no corpo do projeto, o que pretendemos corrigir com a emenda que apresentamos.</w:t>
      </w:r>
    </w:p>
    <w:p w:rsidR="002A13F5" w:rsidRDefault="00313A0E" w:rsidP="002A13F5">
      <w:pPr>
        <w:pStyle w:val="06-Pargrafodetexto-CLG"/>
      </w:pPr>
      <w:r>
        <w:t xml:space="preserve"> </w:t>
      </w:r>
      <w:r w:rsidR="003E4829">
        <w:t>Ademais, entendemos como necessário estabelecer coerência com o art. 1º, III, o que nos obriga a substituir a expressão “casas legislativas” por “sedes dos poderes” no inciso V, do art. 2º do Projeto.</w:t>
      </w:r>
    </w:p>
    <w:p w:rsidR="003E4829" w:rsidRDefault="003E4829" w:rsidP="002A13F5">
      <w:pPr>
        <w:pStyle w:val="06-Pargrafodetexto-CLG"/>
      </w:pPr>
      <w:r>
        <w:t>Acrescentamos, por fim, nesse mesmo artigo a realização de atividade</w:t>
      </w:r>
      <w:r w:rsidR="00CE1452">
        <w:t>s</w:t>
      </w:r>
      <w:r>
        <w:t xml:space="preserve"> culturais para compor o leque de iniciativas da Semana Nacional de Incentivo à Educação Política.</w:t>
      </w:r>
    </w:p>
    <w:p w:rsidR="00036758" w:rsidRDefault="00036758" w:rsidP="006232A9">
      <w:pPr>
        <w:pStyle w:val="06-Pargrafodetexto-CLG"/>
      </w:pPr>
    </w:p>
    <w:p w:rsidR="009E55D5" w:rsidRDefault="009E55D5" w:rsidP="009E55D5">
      <w:pPr>
        <w:pStyle w:val="05-Subttulo-CLG"/>
      </w:pPr>
      <w:r>
        <w:t>III – VOTO</w:t>
      </w:r>
    </w:p>
    <w:p w:rsidR="003E4829" w:rsidRDefault="003E4829" w:rsidP="003E4829">
      <w:pPr>
        <w:pStyle w:val="06-Pargrafodetexto-CLG"/>
      </w:pPr>
      <w:r>
        <w:t xml:space="preserve">Ante o exposto, opinamos pela constitucionalidade, juridicidade, </w:t>
      </w:r>
      <w:proofErr w:type="spellStart"/>
      <w:r>
        <w:t>regimentalidade</w:t>
      </w:r>
      <w:proofErr w:type="spellEnd"/>
      <w:r>
        <w:t xml:space="preserve"> e, no mérito, pela </w:t>
      </w:r>
      <w:r w:rsidRPr="007B6295">
        <w:rPr>
          <w:b/>
        </w:rPr>
        <w:t>aprovação</w:t>
      </w:r>
      <w:r>
        <w:t xml:space="preserve"> do Projeto de Lei do Senado Jovem nº 1, de 2022, com a seguinte emenda:</w:t>
      </w:r>
    </w:p>
    <w:p w:rsidR="003E4829" w:rsidRDefault="003E4829" w:rsidP="003E4829">
      <w:pPr>
        <w:pStyle w:val="06-Pargrafodetexto-CLG"/>
      </w:pPr>
    </w:p>
    <w:p w:rsidR="003E4829" w:rsidRDefault="003E4829" w:rsidP="003E4829">
      <w:pPr>
        <w:pStyle w:val="06-Pargrafodetexto-CLG"/>
        <w:jc w:val="center"/>
        <w:rPr>
          <w:b/>
        </w:rPr>
      </w:pPr>
      <w:r>
        <w:rPr>
          <w:b/>
        </w:rPr>
        <w:t xml:space="preserve">EMENDA Nº </w:t>
      </w:r>
      <w:r w:rsidR="002F0D05">
        <w:rPr>
          <w:b/>
        </w:rPr>
        <w:t>1</w:t>
      </w:r>
      <w:r>
        <w:rPr>
          <w:b/>
        </w:rPr>
        <w:t>- CNF</w:t>
      </w:r>
    </w:p>
    <w:p w:rsidR="003E4829" w:rsidRDefault="003E4829" w:rsidP="003E4829">
      <w:pPr>
        <w:pStyle w:val="06-Pargrafodetexto-CLG"/>
      </w:pPr>
      <w:r>
        <w:lastRenderedPageBreak/>
        <w:t>Dê-se ao art. 2º do Projeto de Lei do Senado Jovem nº 1, de 2022, a seguinte redação:</w:t>
      </w:r>
    </w:p>
    <w:p w:rsidR="003E4829" w:rsidRDefault="003E4829" w:rsidP="003E4829">
      <w:pPr>
        <w:pStyle w:val="06-Pargrafodetexto-CLG"/>
        <w:ind w:left="1418"/>
        <w:rPr>
          <w:sz w:val="24"/>
          <w:szCs w:val="24"/>
        </w:rPr>
      </w:pPr>
      <w:r w:rsidRPr="00BA09B1">
        <w:rPr>
          <w:sz w:val="24"/>
          <w:szCs w:val="24"/>
        </w:rPr>
        <w:t>“</w:t>
      </w:r>
      <w:r w:rsidRPr="00BA09B1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BA09B1">
        <w:rPr>
          <w:sz w:val="24"/>
          <w:szCs w:val="24"/>
        </w:rPr>
        <w:t>A Semana Nacional de que trata o art.1º será realizada</w:t>
      </w:r>
      <w:r>
        <w:rPr>
          <w:sz w:val="24"/>
          <w:szCs w:val="24"/>
        </w:rPr>
        <w:t xml:space="preserve">, </w:t>
      </w:r>
      <w:r w:rsidRPr="00B26F1B">
        <w:rPr>
          <w:sz w:val="24"/>
          <w:szCs w:val="24"/>
        </w:rPr>
        <w:t>anualmente</w:t>
      </w:r>
      <w:r>
        <w:rPr>
          <w:sz w:val="24"/>
          <w:szCs w:val="24"/>
        </w:rPr>
        <w:t>,</w:t>
      </w:r>
      <w:r w:rsidRPr="00BA09B1">
        <w:rPr>
          <w:sz w:val="24"/>
          <w:szCs w:val="24"/>
        </w:rPr>
        <w:t xml:space="preserve"> na semana que compreender o dia 5 de outubro, incluindo </w:t>
      </w:r>
      <w:r w:rsidRPr="00B26F1B">
        <w:rPr>
          <w:sz w:val="24"/>
          <w:szCs w:val="24"/>
        </w:rPr>
        <w:t>as seguintes</w:t>
      </w:r>
      <w:r w:rsidRPr="00BA09B1">
        <w:rPr>
          <w:sz w:val="24"/>
          <w:szCs w:val="24"/>
        </w:rPr>
        <w:t xml:space="preserve"> atividades:</w:t>
      </w:r>
    </w:p>
    <w:p w:rsidR="003E4829" w:rsidRDefault="00EF3012" w:rsidP="003E4829">
      <w:pPr>
        <w:pStyle w:val="06-Pargrafodetexto-CLG"/>
        <w:ind w:left="141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</w:t>
      </w:r>
    </w:p>
    <w:p w:rsidR="00EF3012" w:rsidRDefault="003E4829" w:rsidP="003E4829">
      <w:pPr>
        <w:pStyle w:val="06-Pargrafodetexto-CLG"/>
        <w:ind w:left="1418"/>
        <w:rPr>
          <w:sz w:val="24"/>
          <w:szCs w:val="24"/>
        </w:rPr>
      </w:pPr>
      <w:r>
        <w:rPr>
          <w:sz w:val="24"/>
          <w:szCs w:val="24"/>
        </w:rPr>
        <w:t>V – visitações a sedes dos poderes</w:t>
      </w:r>
      <w:r w:rsidR="00EF3012">
        <w:rPr>
          <w:sz w:val="24"/>
          <w:szCs w:val="24"/>
        </w:rPr>
        <w:t>;</w:t>
      </w:r>
    </w:p>
    <w:p w:rsidR="003E4829" w:rsidRDefault="00EF3012" w:rsidP="003E4829">
      <w:pPr>
        <w:pStyle w:val="06-Pargrafodetexto-CLG"/>
        <w:ind w:left="1418"/>
        <w:rPr>
          <w:sz w:val="24"/>
          <w:szCs w:val="24"/>
        </w:rPr>
      </w:pPr>
      <w:r>
        <w:rPr>
          <w:sz w:val="24"/>
          <w:szCs w:val="24"/>
        </w:rPr>
        <w:t>VI – atividades culturais.</w:t>
      </w:r>
      <w:r w:rsidR="003E4829">
        <w:rPr>
          <w:sz w:val="24"/>
          <w:szCs w:val="24"/>
        </w:rPr>
        <w:t>”</w:t>
      </w:r>
    </w:p>
    <w:p w:rsidR="002F0D05" w:rsidRPr="00BA09B1" w:rsidRDefault="002F0D05" w:rsidP="003E4829">
      <w:pPr>
        <w:pStyle w:val="06-Pargrafodetexto-CLG"/>
        <w:ind w:left="1418"/>
        <w:rPr>
          <w:sz w:val="24"/>
          <w:szCs w:val="24"/>
        </w:rPr>
      </w:pPr>
    </w:p>
    <w:p w:rsidR="009E55D5" w:rsidRDefault="00EF3012" w:rsidP="002F0D05">
      <w:pPr>
        <w:pStyle w:val="07-Citaolegal-CLG"/>
        <w:ind w:firstLine="0"/>
      </w:pPr>
      <w:r>
        <w:t xml:space="preserve"> </w:t>
      </w:r>
      <w:r w:rsidR="009E55D5" w:rsidRPr="002F0D05">
        <w:rPr>
          <w:bCs w:val="0"/>
          <w:sz w:val="28"/>
        </w:rPr>
        <w:t>Sala da Comissão,</w:t>
      </w:r>
    </w:p>
    <w:p w:rsidR="009E55D5" w:rsidRPr="00724990" w:rsidRDefault="009E55D5" w:rsidP="009E55D5">
      <w:pPr>
        <w:pStyle w:val="11-Assinaturas-CLG"/>
      </w:pPr>
      <w:r>
        <w:t>, Presidente</w:t>
      </w:r>
    </w:p>
    <w:p w:rsidR="00EF3CC0" w:rsidRDefault="009E55D5" w:rsidP="002D1771">
      <w:pPr>
        <w:pStyle w:val="11-Assinaturas-CLG"/>
      </w:pPr>
      <w:r>
        <w:t>, Relator</w:t>
      </w:r>
      <w:r w:rsidR="00CB1C63">
        <w:t>es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>Jovem Senadora Ana Beatriz Amorim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 xml:space="preserve">Jovens Senadora </w:t>
      </w:r>
      <w:proofErr w:type="spellStart"/>
      <w:r>
        <w:t>Dinitine</w:t>
      </w:r>
      <w:proofErr w:type="spellEnd"/>
      <w:r>
        <w:t xml:space="preserve"> Figueiredo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 xml:space="preserve">Jovem Senadora </w:t>
      </w:r>
      <w:proofErr w:type="spellStart"/>
      <w:r>
        <w:t>Esthefane</w:t>
      </w:r>
      <w:proofErr w:type="spellEnd"/>
      <w:r>
        <w:t xml:space="preserve"> de Barros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>Jovem Senador Francisco Davi Pereira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 xml:space="preserve">Jovem Senador Gabriel </w:t>
      </w:r>
      <w:proofErr w:type="spellStart"/>
      <w:r>
        <w:t>Rigolin</w:t>
      </w:r>
      <w:proofErr w:type="spellEnd"/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>Jovem Senadora Giovanna Gomes</w:t>
      </w:r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 xml:space="preserve">Jovem Senador Guilherme </w:t>
      </w:r>
      <w:proofErr w:type="spellStart"/>
      <w:r>
        <w:t>Smaleski</w:t>
      </w:r>
      <w:proofErr w:type="spellEnd"/>
    </w:p>
    <w:p w:rsidR="002F0D05" w:rsidRDefault="002F0D05" w:rsidP="002F0D05">
      <w:pPr>
        <w:pStyle w:val="11-Assinaturas-CLG"/>
        <w:spacing w:after="0" w:line="480" w:lineRule="auto"/>
        <w:ind w:left="3969" w:hanging="3969"/>
      </w:pPr>
      <w:r>
        <w:t>Jovem Senadora Letícia Ribeiro</w:t>
      </w:r>
    </w:p>
    <w:p w:rsidR="00CB1C63" w:rsidRPr="009E55D5" w:rsidRDefault="002F0D05" w:rsidP="002F0D05">
      <w:pPr>
        <w:pStyle w:val="11-Assinaturas-CLG"/>
        <w:spacing w:after="0" w:line="480" w:lineRule="auto"/>
        <w:ind w:left="3969" w:hanging="3969"/>
      </w:pPr>
      <w:r>
        <w:t xml:space="preserve">Jovem Senadora Maria Eduarda </w:t>
      </w:r>
      <w:proofErr w:type="spellStart"/>
      <w:r>
        <w:t>Ojeda</w:t>
      </w:r>
      <w:proofErr w:type="spellEnd"/>
    </w:p>
    <w:sectPr w:rsidR="00CB1C63" w:rsidRPr="009E55D5" w:rsidSect="009E55D5">
      <w:headerReference w:type="even" r:id="rId6"/>
      <w:head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DC" w:rsidRDefault="00C622DC">
      <w:r>
        <w:separator/>
      </w:r>
    </w:p>
  </w:endnote>
  <w:endnote w:type="continuationSeparator" w:id="0">
    <w:p w:rsidR="00C622DC" w:rsidRDefault="00C6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Pr="00342E7D" w:rsidRDefault="00F47694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DC" w:rsidRDefault="00C622DC">
      <w:r>
        <w:separator/>
      </w:r>
    </w:p>
  </w:footnote>
  <w:footnote w:type="continuationSeparator" w:id="0">
    <w:p w:rsidR="00C622DC" w:rsidRDefault="00C6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694" w:rsidRDefault="00F47694">
    <w:pPr>
      <w:pStyle w:val="Cabealho"/>
      <w:ind w:right="360"/>
    </w:pPr>
  </w:p>
  <w:p w:rsidR="00F47694" w:rsidRDefault="00F476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48A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47694" w:rsidRDefault="00F47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D5"/>
    <w:rsid w:val="00003919"/>
    <w:rsid w:val="00004A55"/>
    <w:rsid w:val="00006831"/>
    <w:rsid w:val="0001311A"/>
    <w:rsid w:val="000229AB"/>
    <w:rsid w:val="000235B9"/>
    <w:rsid w:val="00036758"/>
    <w:rsid w:val="00080787"/>
    <w:rsid w:val="000963B3"/>
    <w:rsid w:val="000A1863"/>
    <w:rsid w:val="000A573A"/>
    <w:rsid w:val="000C41CA"/>
    <w:rsid w:val="000C53BB"/>
    <w:rsid w:val="00110C4E"/>
    <w:rsid w:val="001131B9"/>
    <w:rsid w:val="00115B41"/>
    <w:rsid w:val="00116169"/>
    <w:rsid w:val="00117229"/>
    <w:rsid w:val="00154F70"/>
    <w:rsid w:val="00161E04"/>
    <w:rsid w:val="001955F7"/>
    <w:rsid w:val="001A2A9B"/>
    <w:rsid w:val="001C5F7D"/>
    <w:rsid w:val="001E0B54"/>
    <w:rsid w:val="001E118C"/>
    <w:rsid w:val="001E3CCF"/>
    <w:rsid w:val="001F4143"/>
    <w:rsid w:val="002146D5"/>
    <w:rsid w:val="00216F3B"/>
    <w:rsid w:val="00233CCD"/>
    <w:rsid w:val="002356B0"/>
    <w:rsid w:val="00254CF5"/>
    <w:rsid w:val="002631FF"/>
    <w:rsid w:val="00291D39"/>
    <w:rsid w:val="0029210D"/>
    <w:rsid w:val="00293C96"/>
    <w:rsid w:val="00297131"/>
    <w:rsid w:val="002A13F5"/>
    <w:rsid w:val="002B3619"/>
    <w:rsid w:val="002C2E3C"/>
    <w:rsid w:val="002D1771"/>
    <w:rsid w:val="002D6CB1"/>
    <w:rsid w:val="002F0D05"/>
    <w:rsid w:val="002F0EB9"/>
    <w:rsid w:val="002F6B4D"/>
    <w:rsid w:val="00304DF3"/>
    <w:rsid w:val="00305B85"/>
    <w:rsid w:val="00312E0E"/>
    <w:rsid w:val="00313A0E"/>
    <w:rsid w:val="00324E1C"/>
    <w:rsid w:val="00343556"/>
    <w:rsid w:val="00343849"/>
    <w:rsid w:val="00361B32"/>
    <w:rsid w:val="00363091"/>
    <w:rsid w:val="003635D9"/>
    <w:rsid w:val="0036724E"/>
    <w:rsid w:val="00390CF6"/>
    <w:rsid w:val="00391F39"/>
    <w:rsid w:val="003A0AEF"/>
    <w:rsid w:val="003C0B13"/>
    <w:rsid w:val="003C3AB0"/>
    <w:rsid w:val="003C4D78"/>
    <w:rsid w:val="003D4F13"/>
    <w:rsid w:val="003E466E"/>
    <w:rsid w:val="003E4829"/>
    <w:rsid w:val="003E5C28"/>
    <w:rsid w:val="00417794"/>
    <w:rsid w:val="0042316D"/>
    <w:rsid w:val="00424280"/>
    <w:rsid w:val="00445AE7"/>
    <w:rsid w:val="0047110D"/>
    <w:rsid w:val="004728D9"/>
    <w:rsid w:val="0047585A"/>
    <w:rsid w:val="004770A0"/>
    <w:rsid w:val="00486E94"/>
    <w:rsid w:val="00493BEF"/>
    <w:rsid w:val="004B3223"/>
    <w:rsid w:val="004C2E11"/>
    <w:rsid w:val="004E0ED0"/>
    <w:rsid w:val="004E532C"/>
    <w:rsid w:val="004E6042"/>
    <w:rsid w:val="00501718"/>
    <w:rsid w:val="005062CA"/>
    <w:rsid w:val="0051274B"/>
    <w:rsid w:val="00512B14"/>
    <w:rsid w:val="00521032"/>
    <w:rsid w:val="00525761"/>
    <w:rsid w:val="0053184D"/>
    <w:rsid w:val="00572C28"/>
    <w:rsid w:val="00575D86"/>
    <w:rsid w:val="00581922"/>
    <w:rsid w:val="005946B4"/>
    <w:rsid w:val="0059602A"/>
    <w:rsid w:val="005A6908"/>
    <w:rsid w:val="005C72B1"/>
    <w:rsid w:val="005C7932"/>
    <w:rsid w:val="005D0FB6"/>
    <w:rsid w:val="005D2333"/>
    <w:rsid w:val="005D7F64"/>
    <w:rsid w:val="005E0D2C"/>
    <w:rsid w:val="005E1A33"/>
    <w:rsid w:val="005E57B9"/>
    <w:rsid w:val="005F49F1"/>
    <w:rsid w:val="00601071"/>
    <w:rsid w:val="00603F74"/>
    <w:rsid w:val="0060495C"/>
    <w:rsid w:val="006129E8"/>
    <w:rsid w:val="006232A9"/>
    <w:rsid w:val="006275EE"/>
    <w:rsid w:val="00632410"/>
    <w:rsid w:val="00632FD8"/>
    <w:rsid w:val="00633792"/>
    <w:rsid w:val="00640AC3"/>
    <w:rsid w:val="006573E0"/>
    <w:rsid w:val="00671E29"/>
    <w:rsid w:val="006723D1"/>
    <w:rsid w:val="00673DED"/>
    <w:rsid w:val="00683A92"/>
    <w:rsid w:val="006A1517"/>
    <w:rsid w:val="006B7C98"/>
    <w:rsid w:val="006C0690"/>
    <w:rsid w:val="006E32FF"/>
    <w:rsid w:val="006E3B70"/>
    <w:rsid w:val="006E5167"/>
    <w:rsid w:val="007048A3"/>
    <w:rsid w:val="00713206"/>
    <w:rsid w:val="0071356A"/>
    <w:rsid w:val="00713C4F"/>
    <w:rsid w:val="007259A6"/>
    <w:rsid w:val="00737874"/>
    <w:rsid w:val="00775A61"/>
    <w:rsid w:val="0078218F"/>
    <w:rsid w:val="007A4D95"/>
    <w:rsid w:val="007A6A6B"/>
    <w:rsid w:val="007B6295"/>
    <w:rsid w:val="007C0CC2"/>
    <w:rsid w:val="007C574B"/>
    <w:rsid w:val="007E0C1C"/>
    <w:rsid w:val="007F0628"/>
    <w:rsid w:val="00801D11"/>
    <w:rsid w:val="00811A75"/>
    <w:rsid w:val="008246A2"/>
    <w:rsid w:val="00826C92"/>
    <w:rsid w:val="0083521E"/>
    <w:rsid w:val="00843C6A"/>
    <w:rsid w:val="00847FE3"/>
    <w:rsid w:val="00852E11"/>
    <w:rsid w:val="00856F42"/>
    <w:rsid w:val="008868A9"/>
    <w:rsid w:val="0089554C"/>
    <w:rsid w:val="00897744"/>
    <w:rsid w:val="008B6992"/>
    <w:rsid w:val="008C2AAD"/>
    <w:rsid w:val="008D432D"/>
    <w:rsid w:val="008D4EF6"/>
    <w:rsid w:val="008D57D9"/>
    <w:rsid w:val="008F2E85"/>
    <w:rsid w:val="0093427F"/>
    <w:rsid w:val="009346EA"/>
    <w:rsid w:val="0094462A"/>
    <w:rsid w:val="00954A46"/>
    <w:rsid w:val="00956E5A"/>
    <w:rsid w:val="00957706"/>
    <w:rsid w:val="009644A9"/>
    <w:rsid w:val="009675E8"/>
    <w:rsid w:val="00990535"/>
    <w:rsid w:val="009B22DC"/>
    <w:rsid w:val="009D4DFB"/>
    <w:rsid w:val="009E24AC"/>
    <w:rsid w:val="009E55D5"/>
    <w:rsid w:val="009F373A"/>
    <w:rsid w:val="00A011BA"/>
    <w:rsid w:val="00A0184B"/>
    <w:rsid w:val="00A0536A"/>
    <w:rsid w:val="00A2180E"/>
    <w:rsid w:val="00A236D8"/>
    <w:rsid w:val="00A30297"/>
    <w:rsid w:val="00A33856"/>
    <w:rsid w:val="00A45150"/>
    <w:rsid w:val="00A45DB1"/>
    <w:rsid w:val="00A608AD"/>
    <w:rsid w:val="00A75711"/>
    <w:rsid w:val="00A84A51"/>
    <w:rsid w:val="00A96F6D"/>
    <w:rsid w:val="00AA4A68"/>
    <w:rsid w:val="00AA7CF1"/>
    <w:rsid w:val="00AB6F0E"/>
    <w:rsid w:val="00AD5C1F"/>
    <w:rsid w:val="00AE0397"/>
    <w:rsid w:val="00AE0C0E"/>
    <w:rsid w:val="00AE28FD"/>
    <w:rsid w:val="00AF4DA8"/>
    <w:rsid w:val="00B05068"/>
    <w:rsid w:val="00B05E19"/>
    <w:rsid w:val="00B072F1"/>
    <w:rsid w:val="00B11519"/>
    <w:rsid w:val="00B25BE0"/>
    <w:rsid w:val="00B303A0"/>
    <w:rsid w:val="00B43EE1"/>
    <w:rsid w:val="00B56949"/>
    <w:rsid w:val="00B77352"/>
    <w:rsid w:val="00B807D3"/>
    <w:rsid w:val="00B80EF7"/>
    <w:rsid w:val="00B8373F"/>
    <w:rsid w:val="00B90F58"/>
    <w:rsid w:val="00B94439"/>
    <w:rsid w:val="00BB7153"/>
    <w:rsid w:val="00BC5475"/>
    <w:rsid w:val="00C009E3"/>
    <w:rsid w:val="00C04C12"/>
    <w:rsid w:val="00C05946"/>
    <w:rsid w:val="00C3035E"/>
    <w:rsid w:val="00C57527"/>
    <w:rsid w:val="00C622DC"/>
    <w:rsid w:val="00C63EF1"/>
    <w:rsid w:val="00C75BC2"/>
    <w:rsid w:val="00C855EE"/>
    <w:rsid w:val="00C96135"/>
    <w:rsid w:val="00CA6C17"/>
    <w:rsid w:val="00CB1C63"/>
    <w:rsid w:val="00CB2DA4"/>
    <w:rsid w:val="00CE1452"/>
    <w:rsid w:val="00CF7314"/>
    <w:rsid w:val="00CF7D50"/>
    <w:rsid w:val="00D14486"/>
    <w:rsid w:val="00D203E7"/>
    <w:rsid w:val="00D32512"/>
    <w:rsid w:val="00D54975"/>
    <w:rsid w:val="00D60903"/>
    <w:rsid w:val="00D75DFC"/>
    <w:rsid w:val="00D876DF"/>
    <w:rsid w:val="00DA2D90"/>
    <w:rsid w:val="00DB69FC"/>
    <w:rsid w:val="00DD1CBC"/>
    <w:rsid w:val="00DD6E84"/>
    <w:rsid w:val="00DF0C56"/>
    <w:rsid w:val="00DF23FC"/>
    <w:rsid w:val="00DF4B80"/>
    <w:rsid w:val="00DF7381"/>
    <w:rsid w:val="00DF7588"/>
    <w:rsid w:val="00E27F2E"/>
    <w:rsid w:val="00E304EA"/>
    <w:rsid w:val="00E42DEA"/>
    <w:rsid w:val="00E66D0B"/>
    <w:rsid w:val="00E767D9"/>
    <w:rsid w:val="00E8092E"/>
    <w:rsid w:val="00E84CC2"/>
    <w:rsid w:val="00E90D80"/>
    <w:rsid w:val="00E92811"/>
    <w:rsid w:val="00E929EC"/>
    <w:rsid w:val="00E94768"/>
    <w:rsid w:val="00EB7063"/>
    <w:rsid w:val="00ED0762"/>
    <w:rsid w:val="00EE5B2A"/>
    <w:rsid w:val="00EF3012"/>
    <w:rsid w:val="00EF3CC0"/>
    <w:rsid w:val="00F020A4"/>
    <w:rsid w:val="00F12960"/>
    <w:rsid w:val="00F24090"/>
    <w:rsid w:val="00F47694"/>
    <w:rsid w:val="00F50FF0"/>
    <w:rsid w:val="00F54233"/>
    <w:rsid w:val="00F56B98"/>
    <w:rsid w:val="00F615C6"/>
    <w:rsid w:val="00F7196C"/>
    <w:rsid w:val="00F73BE7"/>
    <w:rsid w:val="00F757C0"/>
    <w:rsid w:val="00F81CDC"/>
    <w:rsid w:val="00F94CE0"/>
    <w:rsid w:val="00FA70C9"/>
    <w:rsid w:val="00FC1AA2"/>
    <w:rsid w:val="00FC4ED1"/>
    <w:rsid w:val="00FC58AB"/>
    <w:rsid w:val="00FC6361"/>
    <w:rsid w:val="00FD25F0"/>
    <w:rsid w:val="00FE5342"/>
    <w:rsid w:val="00FE5DCC"/>
    <w:rsid w:val="00FF17F6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A8F83FF-C8E6-4F9C-95FB-712F8398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semiHidden/>
    <w:rsid w:val="00C3035E"/>
  </w:style>
  <w:style w:type="paragraph" w:styleId="Textodebalo">
    <w:name w:val="Balloon Text"/>
    <w:basedOn w:val="Normal"/>
    <w:link w:val="TextodebaloChar"/>
    <w:semiHidden/>
    <w:rsid w:val="00C3035E"/>
    <w:rPr>
      <w:rFonts w:ascii="Tahoma" w:hAnsi="Tahoma"/>
      <w:color w:val="000000"/>
      <w:sz w:val="16"/>
      <w:szCs w:val="16"/>
    </w:rPr>
  </w:style>
  <w:style w:type="paragraph" w:customStyle="1" w:styleId="01-TtuloEstudoNota-CLG">
    <w:name w:val="01 - Título Estudo Nota - CLG"/>
    <w:link w:val="01-TtuloEstudoNota-CLGChar"/>
    <w:rsid w:val="00C3035E"/>
    <w:pPr>
      <w:spacing w:after="1200"/>
      <w:jc w:val="center"/>
    </w:pPr>
    <w:rPr>
      <w:b/>
      <w:bCs/>
      <w:sz w:val="34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C3035E"/>
    <w:rPr>
      <w:b/>
      <w:bCs/>
      <w:sz w:val="34"/>
      <w:lang w:val="pt-BR" w:eastAsia="pt-BR" w:bidi="ar-SA"/>
    </w:rPr>
  </w:style>
  <w:style w:type="paragraph" w:customStyle="1" w:styleId="02-EmentaEstudoNota-CLG">
    <w:name w:val="02 - Ementa Estudo Nota - CLG"/>
    <w:link w:val="02-EmentaEstudoNota-CLGChar"/>
    <w:rsid w:val="00C3035E"/>
    <w:pPr>
      <w:spacing w:after="1200"/>
      <w:ind w:left="3686"/>
      <w:jc w:val="both"/>
    </w:pPr>
    <w:rPr>
      <w:sz w:val="24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C3035E"/>
    <w:rPr>
      <w:sz w:val="24"/>
      <w:lang w:val="pt-BR" w:eastAsia="pt-BR" w:bidi="ar-SA"/>
    </w:rPr>
  </w:style>
  <w:style w:type="paragraph" w:customStyle="1" w:styleId="03-SubttuloEstudoNota-CLG">
    <w:name w:val="03 - Subtítulo Estudo Nota - CLG"/>
    <w:link w:val="03-SubttuloEstudoNota-CLGChar"/>
    <w:rsid w:val="00C3035E"/>
    <w:pPr>
      <w:spacing w:after="360" w:line="420" w:lineRule="exact"/>
      <w:ind w:left="357" w:hanging="357"/>
    </w:pPr>
    <w:rPr>
      <w:sz w:val="28"/>
    </w:rPr>
  </w:style>
  <w:style w:type="character" w:customStyle="1" w:styleId="03-SubttuloEstudoNota-CLGChar">
    <w:name w:val="03 - Subtítulo Estudo Nota - CLG Char"/>
    <w:basedOn w:val="Fontepargpadro"/>
    <w:link w:val="03-SubttuloEstudoNota-CLG"/>
    <w:rsid w:val="00C3035E"/>
    <w:rPr>
      <w:sz w:val="28"/>
      <w:lang w:val="pt-BR" w:eastAsia="pt-BR" w:bidi="ar-SA"/>
    </w:rPr>
  </w:style>
  <w:style w:type="paragraph" w:customStyle="1" w:styleId="04-PargrafodetextoEstudoNotas-CLG">
    <w:name w:val="04 - Parágrafo de texto Estudo Notas - CLG"/>
    <w:link w:val="04-PargrafodetextoEstudoNotas-CLGChar"/>
    <w:rsid w:val="00C3035E"/>
    <w:pPr>
      <w:spacing w:after="360" w:line="360" w:lineRule="auto"/>
      <w:ind w:firstLine="1418"/>
      <w:jc w:val="both"/>
    </w:pPr>
    <w:rPr>
      <w:sz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C3035E"/>
    <w:rPr>
      <w:sz w:val="28"/>
      <w:lang w:val="pt-BR"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C3035E"/>
    <w:pPr>
      <w:spacing w:after="120"/>
      <w:ind w:left="1985" w:firstLine="567"/>
      <w:jc w:val="both"/>
    </w:pPr>
    <w:rPr>
      <w:bCs/>
      <w:sz w:val="24"/>
    </w:rPr>
  </w:style>
  <w:style w:type="character" w:customStyle="1" w:styleId="05-Citaolegal-linhasiniciais-CLGChar">
    <w:name w:val="05 - Citação legal - linhas iniciais - CLG Char"/>
    <w:basedOn w:val="Fontepargpadro"/>
    <w:link w:val="05-Citaolegal-linhasiniciais-CLG"/>
    <w:rsid w:val="00C3035E"/>
    <w:rPr>
      <w:bCs/>
      <w:sz w:val="24"/>
      <w:lang w:val="pt-BR"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C3035E"/>
    <w:pPr>
      <w:spacing w:after="480"/>
      <w:ind w:left="1985" w:firstLine="567"/>
      <w:jc w:val="both"/>
    </w:pPr>
    <w:rPr>
      <w:sz w:val="24"/>
    </w:rPr>
  </w:style>
  <w:style w:type="character" w:customStyle="1" w:styleId="06-Citaolegal-linhafinal-CLGChar">
    <w:name w:val="06 - Citação legal - linha final - CLG Char"/>
    <w:basedOn w:val="Fontepargpadro"/>
    <w:link w:val="06-Citaolegal-linhafinal-CLG"/>
    <w:rsid w:val="00C3035E"/>
    <w:rPr>
      <w:sz w:val="24"/>
      <w:lang w:val="pt-BR" w:eastAsia="pt-BR" w:bidi="ar-SA"/>
    </w:rPr>
  </w:style>
  <w:style w:type="paragraph" w:customStyle="1" w:styleId="07-LocaleDataEstudoNotas-CLG">
    <w:name w:val="07 - Local e Data Estudo Notas - CLG"/>
    <w:link w:val="07-LocaleDataEstudoNotas-CLGChar"/>
    <w:rsid w:val="00C3035E"/>
    <w:pPr>
      <w:spacing w:before="960" w:after="840"/>
      <w:ind w:left="2124"/>
    </w:pPr>
    <w:rPr>
      <w:sz w:val="28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C3035E"/>
    <w:rPr>
      <w:sz w:val="28"/>
      <w:lang w:val="pt-BR" w:eastAsia="pt-BR" w:bidi="ar-SA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C3035E"/>
    <w:pPr>
      <w:jc w:val="center"/>
    </w:pPr>
    <w:rPr>
      <w:sz w:val="28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C3035E"/>
    <w:rPr>
      <w:sz w:val="28"/>
      <w:lang w:val="pt-BR" w:eastAsia="pt-BR" w:bidi="ar-SA"/>
    </w:rPr>
  </w:style>
  <w:style w:type="paragraph" w:styleId="Cabealho">
    <w:name w:val="header"/>
    <w:basedOn w:val="Normal"/>
    <w:semiHidden/>
    <w:rsid w:val="009E55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D5"/>
  </w:style>
  <w:style w:type="paragraph" w:customStyle="1" w:styleId="01-Minuta-CLG">
    <w:name w:val="01 - Minuta - CLG"/>
    <w:link w:val="01-Minuta-CLGChar"/>
    <w:rsid w:val="009E55D5"/>
    <w:pPr>
      <w:spacing w:after="180"/>
      <w:jc w:val="center"/>
    </w:pPr>
    <w:rPr>
      <w:sz w:val="24"/>
    </w:rPr>
  </w:style>
  <w:style w:type="paragraph" w:customStyle="1" w:styleId="02-TtuloPrincipal-CLG">
    <w:name w:val="02 - Título Principal - CLG"/>
    <w:link w:val="02-TtuloPrincipal-CLGChar"/>
    <w:rsid w:val="009E55D5"/>
    <w:pPr>
      <w:spacing w:after="960"/>
      <w:jc w:val="center"/>
    </w:pPr>
    <w:rPr>
      <w:b/>
      <w:bCs/>
      <w:sz w:val="32"/>
    </w:rPr>
  </w:style>
  <w:style w:type="paragraph" w:customStyle="1" w:styleId="03-Ementa-CLG">
    <w:name w:val="03 - Ementa - CLG"/>
    <w:link w:val="03-Ementa-CLGCharChar"/>
    <w:rsid w:val="009E55D5"/>
    <w:pPr>
      <w:spacing w:after="960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rsid w:val="009E55D5"/>
    <w:rPr>
      <w:rFonts w:eastAsia="Arial Unicode MS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rsid w:val="009E55D5"/>
    <w:pPr>
      <w:spacing w:after="960"/>
      <w:ind w:left="1440"/>
    </w:pPr>
    <w:rPr>
      <w:sz w:val="28"/>
    </w:rPr>
  </w:style>
  <w:style w:type="paragraph" w:customStyle="1" w:styleId="05-Subttulo-CLG">
    <w:name w:val="05 - Subtítulo - CLG"/>
    <w:link w:val="05-Subttulo-CLGChar"/>
    <w:rsid w:val="009E55D5"/>
    <w:pPr>
      <w:spacing w:after="480"/>
      <w:jc w:val="both"/>
    </w:pPr>
    <w:rPr>
      <w:b/>
      <w:bCs/>
      <w:sz w:val="28"/>
    </w:rPr>
  </w:style>
  <w:style w:type="paragraph" w:customStyle="1" w:styleId="06-Pargrafodetexto-CLG">
    <w:name w:val="06 - Parágrafo de texto - CLG"/>
    <w:link w:val="06-Pargrafodetexto-CLGChar"/>
    <w:rsid w:val="009E55D5"/>
    <w:pPr>
      <w:spacing w:after="360"/>
      <w:ind w:firstLine="1418"/>
      <w:jc w:val="both"/>
    </w:pPr>
    <w:rPr>
      <w:sz w:val="28"/>
    </w:rPr>
  </w:style>
  <w:style w:type="character" w:customStyle="1" w:styleId="01-Minuta-CLGChar">
    <w:name w:val="01 - Minuta - CLG Char"/>
    <w:basedOn w:val="Fontepargpadro"/>
    <w:link w:val="01-Minuta-CLG"/>
    <w:rsid w:val="009E55D5"/>
    <w:rPr>
      <w:sz w:val="24"/>
      <w:lang w:val="pt-BR" w:eastAsia="pt-BR" w:bidi="ar-SA"/>
    </w:rPr>
  </w:style>
  <w:style w:type="paragraph" w:customStyle="1" w:styleId="10-Local-CLG">
    <w:name w:val="10 - Local - CLG"/>
    <w:link w:val="10-Local-CLGChar"/>
    <w:rsid w:val="009E55D5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link w:val="11-Assinaturas-CLGChar"/>
    <w:rsid w:val="009E55D5"/>
    <w:pPr>
      <w:spacing w:after="960"/>
      <w:ind w:left="6240"/>
      <w:jc w:val="both"/>
    </w:pPr>
    <w:rPr>
      <w:sz w:val="28"/>
    </w:rPr>
  </w:style>
  <w:style w:type="character" w:customStyle="1" w:styleId="02-TtuloPrincipal-CLGChar">
    <w:name w:val="02 - Título Principal - CLG Char"/>
    <w:basedOn w:val="Fontepargpadro"/>
    <w:link w:val="02-TtuloPrincipal-CLG"/>
    <w:rsid w:val="009E55D5"/>
    <w:rPr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rsid w:val="009E55D5"/>
    <w:rPr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rsid w:val="009E55D5"/>
    <w:rPr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9E55D5"/>
    <w:rPr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rsid w:val="009E55D5"/>
    <w:rPr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rsid w:val="009E55D5"/>
    <w:rPr>
      <w:sz w:val="28"/>
      <w:lang w:val="pt-BR" w:eastAsia="pt-BR" w:bidi="ar-SA"/>
    </w:rPr>
  </w:style>
  <w:style w:type="paragraph" w:customStyle="1" w:styleId="07-Citaolegal-CLG">
    <w:name w:val="07 - Citação legal - CLG"/>
    <w:rsid w:val="009E55D5"/>
    <w:pPr>
      <w:spacing w:after="120"/>
      <w:ind w:left="1985" w:firstLine="567"/>
      <w:jc w:val="both"/>
    </w:pPr>
    <w:rPr>
      <w:bCs/>
      <w:sz w:val="24"/>
    </w:rPr>
  </w:style>
  <w:style w:type="paragraph" w:customStyle="1" w:styleId="08-Citaolegal-ltimalinha-CLG">
    <w:name w:val="08 - Citação legal - última linha - CLG"/>
    <w:rsid w:val="009E55D5"/>
    <w:pPr>
      <w:spacing w:after="480"/>
      <w:ind w:left="1985" w:firstLine="567"/>
      <w:jc w:val="both"/>
    </w:pPr>
    <w:rPr>
      <w:sz w:val="24"/>
    </w:rPr>
  </w:style>
  <w:style w:type="paragraph" w:customStyle="1" w:styleId="09-Ttuloemenda-CLG">
    <w:name w:val="09 - Título emenda - CLG"/>
    <w:rsid w:val="009E55D5"/>
    <w:pPr>
      <w:spacing w:before="480" w:after="360"/>
      <w:jc w:val="center"/>
    </w:pPr>
    <w:rPr>
      <w:b/>
      <w:bCs/>
      <w:spacing w:val="-4"/>
      <w:sz w:val="28"/>
    </w:rPr>
  </w:style>
  <w:style w:type="paragraph" w:customStyle="1" w:styleId="05-Pargrafodetexto-CLG">
    <w:name w:val="05 - Parágrafo de texto - CLG"/>
    <w:link w:val="05-Pargrafodetexto-CLGChar"/>
    <w:rsid w:val="00CB2DA4"/>
    <w:pPr>
      <w:spacing w:after="360"/>
      <w:ind w:firstLine="1418"/>
      <w:jc w:val="both"/>
    </w:pPr>
    <w:rPr>
      <w:sz w:val="28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CB2DA4"/>
    <w:rPr>
      <w:sz w:val="28"/>
      <w:lang w:val="pt-BR" w:eastAsia="pt-BR" w:bidi="ar-SA"/>
    </w:rPr>
  </w:style>
  <w:style w:type="character" w:styleId="Refdecomentrio">
    <w:name w:val="annotation reference"/>
    <w:basedOn w:val="Fontepargpadro"/>
    <w:semiHidden/>
    <w:unhideWhenUsed/>
    <w:rsid w:val="00313A0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13A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13A0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13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13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robertam</dc:creator>
  <cp:lastModifiedBy>Roberta Maria Correa de Assis</cp:lastModifiedBy>
  <cp:revision>2</cp:revision>
  <cp:lastPrinted>2022-06-30T22:14:00Z</cp:lastPrinted>
  <dcterms:created xsi:type="dcterms:W3CDTF">2022-06-30T22:21:00Z</dcterms:created>
  <dcterms:modified xsi:type="dcterms:W3CDTF">2022-06-30T22:21:00Z</dcterms:modified>
</cp:coreProperties>
</file>