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8C7" w:rsidRDefault="009E78C7">
      <w:pPr>
        <w:pBdr>
          <w:top w:val="nil"/>
          <w:left w:val="nil"/>
          <w:bottom w:val="nil"/>
          <w:right w:val="nil"/>
          <w:between w:val="nil"/>
        </w:pBdr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78C7" w:rsidRDefault="00A17D5E">
      <w:pPr>
        <w:pBdr>
          <w:top w:val="nil"/>
          <w:left w:val="nil"/>
          <w:bottom w:val="nil"/>
          <w:right w:val="nil"/>
          <w:between w:val="nil"/>
        </w:pBdr>
        <w:spacing w:after="9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  <w:t>PROJETO DE LEI Nº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, DE 2022</w:t>
      </w:r>
    </w:p>
    <w:p w:rsidR="009E78C7" w:rsidRDefault="00A17D5E">
      <w:pPr>
        <w:pBdr>
          <w:top w:val="nil"/>
          <w:left w:val="nil"/>
          <w:bottom w:val="nil"/>
          <w:right w:val="nil"/>
          <w:between w:val="nil"/>
        </w:pBdr>
        <w:spacing w:after="144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Institui diretrizes para a conservação e a recuperação da fauna e da flora ameaçadas de extinção e estabelece majoração das sanções aplicáveis aos crimes e às infrações administrativas contra elas praticados.</w:t>
      </w:r>
    </w:p>
    <w:p w:rsidR="009E78C7" w:rsidRDefault="00A17D5E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CONGRESSO NACIONAL decreta:</w:t>
      </w:r>
    </w:p>
    <w:p w:rsidR="009E78C7" w:rsidRDefault="00A17D5E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Art. 1º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Esta Lei institui diretrizes para a conservação e a recuperação da fauna e da flora ameaçadas de extinção e estabelece majoração das sanções aplicáveis aos crimes e às infrações administrativas contra elas praticados.</w:t>
      </w:r>
    </w:p>
    <w:p w:rsidR="009E78C7" w:rsidRDefault="00A17D5E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Art. 2º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 políticas, os planos, os programas e as ações do poder público, em todas as áreas de atuação, deverão, quando for o caso, considerar a necessidade de preservação e recuperação das espécies da fauna e da flora ameaçadas de extinção, além de preve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 e executar medidas que promovam:</w:t>
      </w:r>
    </w:p>
    <w:p w:rsidR="009E78C7" w:rsidRDefault="00A17D5E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 – a conservação e a integridade dos hábitats dessas espécies, inclusive com a instituição de áreas protegidas;</w:t>
      </w:r>
    </w:p>
    <w:p w:rsidR="009E78C7" w:rsidRDefault="00A17D5E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 – a vedação de práticas que agravem o estado de conservação das espécies ameaçadas;</w:t>
      </w:r>
    </w:p>
    <w:p w:rsidR="009E78C7" w:rsidRDefault="00A17D5E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III – incentivos ao 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anejo, em ambiente natural e em cativeiro, das espécies ameaçadas de extinção, com finalidade de preservação;</w:t>
      </w:r>
    </w:p>
    <w:p w:rsidR="009E78C7" w:rsidRDefault="00A17D5E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IV – a recuperação de áreas degradadas com o uso de espécies da flora ameaçadas de extinção em sua área natural de distribuição;</w:t>
      </w:r>
    </w:p>
    <w:p w:rsidR="009E78C7" w:rsidRDefault="00A17D5E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 – o aumento do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conhecimento científico sobre as espécies ameaçadas de extinção;</w:t>
      </w:r>
    </w:p>
    <w:p w:rsidR="009E78C7" w:rsidRDefault="00A17D5E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VI – a educação ambiental voltada à preservação das espécies ameaçadas;</w:t>
      </w:r>
    </w:p>
    <w:p w:rsidR="009E78C7" w:rsidRDefault="00A17D5E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VII – a adequação de infraestruturas às necessidades de preservação das espécies ameaçadas.</w:t>
      </w:r>
    </w:p>
    <w:p w:rsidR="009E78C7" w:rsidRDefault="00A17D5E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Art. 3º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 licenciamento ambiental contemplará, obrigatoriamente, a exigência de medidas compensatórias voltadas à preservação e à recuperação das espécies da flora e da fauna ameaçadas de extinção.</w:t>
      </w:r>
    </w:p>
    <w:p w:rsidR="009E78C7" w:rsidRDefault="00A17D5E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Parágrafo único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Na ausência de impacto do empreendimento a espéc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ies da fauna e da flora ameaçadas de extinção, as medidas compensatórias de que trata o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caput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poderão ser implementadas em áreas de ocorrência dessas espécies em que haja a necessidade de medidas voltadas a sua preservação, a critério do órgão licenciador.</w:t>
      </w:r>
    </w:p>
    <w:p w:rsidR="009E78C7" w:rsidRDefault="00A17D5E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Art. 4º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Constitui circunstância agravante, nos crimes e infrações administrativas contra a fauna e a flora, o fato de serem praticados contra espécies ameaçadas de extinção.</w:t>
      </w:r>
    </w:p>
    <w:p w:rsidR="009E78C7" w:rsidRDefault="00A17D5E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Parágrafo único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No caso de que trata o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caput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as sanções serão aumentadas ao dob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 e, no caso de reincidência, ao triplo.</w:t>
      </w:r>
    </w:p>
    <w:p w:rsidR="009E78C7" w:rsidRDefault="00A17D5E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Art. 5º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Esta Lei entra em vigor na data de sua publicação.</w:t>
      </w:r>
    </w:p>
    <w:p w:rsidR="009E78C7" w:rsidRDefault="00A17D5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0" w:after="4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JUSTIFICAÇÃO</w:t>
      </w:r>
    </w:p>
    <w:p w:rsidR="009E78C7" w:rsidRDefault="00A17D5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0" w:after="48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Segundo Gonçalves Dias, “Minha terra tem palmeiras onde canta o sabiá, as aves que aqui gorjeiam não gorjeiam como lá. Nosso céu tem mais estrelas, nossas várzeas têm mais flores, nossos bosques têm mais vida, nossa vida  mais amores”. Entretanto, no que 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ange ao Brasil atual, a situação descrita no poema não se faz presente, visto que há inúmeras espécies da fauna e da flora típicas do País que se encontram ameaçadas de extinção. </w:t>
      </w:r>
    </w:p>
    <w:p w:rsidR="009E78C7" w:rsidRDefault="00A17D5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0" w:after="48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Estes são os objetivos do presente Projeto de Lei:  a preservação, a conserv</w:t>
      </w:r>
      <w:r>
        <w:rPr>
          <w:rFonts w:ascii="Times New Roman" w:eastAsia="Times New Roman" w:hAnsi="Times New Roman" w:cs="Times New Roman"/>
          <w:sz w:val="28"/>
          <w:szCs w:val="28"/>
        </w:rPr>
        <w:t>ação e a recuperação da fauna e da flora ameaçadas de extinção e o estabelecimento da majoração das sanções aplicáveis aos crimes e às infrações administrativas contra elas praticados.</w:t>
      </w:r>
    </w:p>
    <w:p w:rsidR="009E78C7" w:rsidRDefault="00A17D5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0" w:after="48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Nossa proposição está em consonância  com o previsto na Constituição (a</w:t>
      </w:r>
      <w:r>
        <w:rPr>
          <w:rFonts w:ascii="Times New Roman" w:eastAsia="Times New Roman" w:hAnsi="Times New Roman" w:cs="Times New Roman"/>
          <w:sz w:val="28"/>
          <w:szCs w:val="28"/>
        </w:rPr>
        <w:t>rt. 225, § 1º, VII), uma vez que compete ao Poder Público proteger a fauna e a flora, vedadas, na forma da lei, as práticas que coloquem em risco sua função ecológica e provoquem a extinção de espécies.</w:t>
      </w:r>
    </w:p>
    <w:p w:rsidR="009E78C7" w:rsidRDefault="00A17D5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0" w:after="48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Pretende-se, através das ações e dos incentivos propo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stos, instaurar o equilíbrio ecológico e mitigar os impactos negativos, no que se refere ao desequilíbrio dos biomas brasileiros, tais como a proliferação de doenças e disseminação de pragas, tendo em vista que o Brasil lidera o ranking global de espécies </w:t>
      </w:r>
      <w:r>
        <w:rPr>
          <w:rFonts w:ascii="Times New Roman" w:eastAsia="Times New Roman" w:hAnsi="Times New Roman" w:cs="Times New Roman"/>
          <w:sz w:val="28"/>
          <w:szCs w:val="28"/>
        </w:rPr>
        <w:t>de árvores ameaçadas de extinção e é o quarto país em número de animais que estão em perigo de extinção, segundo a União Internacional para a Conservação da Natureza (IUCN).</w:t>
      </w:r>
    </w:p>
    <w:p w:rsidR="009E78C7" w:rsidRDefault="00A17D5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0" w:after="48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Considerando a essencialidade da natureza, solicitamos o apoio dos demais Jovens S</w:t>
      </w:r>
      <w:r>
        <w:rPr>
          <w:rFonts w:ascii="Times New Roman" w:eastAsia="Times New Roman" w:hAnsi="Times New Roman" w:cs="Times New Roman"/>
          <w:sz w:val="28"/>
          <w:szCs w:val="28"/>
        </w:rPr>
        <w:t>enadores para que as futuras gerações possam contemplar o cenário descrito por Gonçalves Dias na Canção do Exílio.</w:t>
      </w:r>
    </w:p>
    <w:p w:rsidR="009E78C7" w:rsidRDefault="00A17D5E">
      <w:pPr>
        <w:pBdr>
          <w:top w:val="nil"/>
          <w:left w:val="nil"/>
          <w:bottom w:val="nil"/>
          <w:right w:val="nil"/>
          <w:between w:val="nil"/>
        </w:pBdr>
        <w:spacing w:before="960" w:after="720" w:line="240" w:lineRule="auto"/>
        <w:ind w:firstLine="2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Sala das Sessões,</w:t>
      </w:r>
    </w:p>
    <w:p w:rsidR="009E78C7" w:rsidRDefault="00A17D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Jovem Senadora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Ana Beatriz Amorim </w:t>
      </w:r>
    </w:p>
    <w:p w:rsidR="009E78C7" w:rsidRDefault="00A17D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Jovens Senadora Dinite Figueiredo </w:t>
      </w:r>
    </w:p>
    <w:p w:rsidR="009E78C7" w:rsidRDefault="00A17D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Jovem Senadora Esthefane de Barros </w:t>
      </w:r>
    </w:p>
    <w:p w:rsidR="009E78C7" w:rsidRDefault="00A17D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Jovem Senador Fra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ncisco Davi Pereira </w:t>
      </w:r>
    </w:p>
    <w:p w:rsidR="009E78C7" w:rsidRDefault="00A17D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Jovem Senador Gabriel Rigolin </w:t>
      </w:r>
    </w:p>
    <w:p w:rsidR="009E78C7" w:rsidRDefault="00A17D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Jovem Senadora Giovanna Gomes </w:t>
      </w:r>
    </w:p>
    <w:p w:rsidR="009E78C7" w:rsidRDefault="00A17D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Jovem Senador Guilherme Smaleski </w:t>
      </w:r>
    </w:p>
    <w:p w:rsidR="009E78C7" w:rsidRDefault="00A17D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Jovem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Senadora Letícia Ribeiro </w:t>
      </w:r>
    </w:p>
    <w:p w:rsidR="009E78C7" w:rsidRDefault="00A17D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Maria Eduarda Ojeda </w:t>
      </w:r>
    </w:p>
    <w:sectPr w:rsidR="009E78C7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D5E" w:rsidRDefault="00A17D5E">
      <w:pPr>
        <w:spacing w:after="0" w:line="240" w:lineRule="auto"/>
      </w:pPr>
      <w:r>
        <w:separator/>
      </w:r>
    </w:p>
  </w:endnote>
  <w:endnote w:type="continuationSeparator" w:id="0">
    <w:p w:rsidR="00A17D5E" w:rsidRDefault="00A1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D5E" w:rsidRDefault="00A17D5E">
      <w:pPr>
        <w:spacing w:after="0" w:line="240" w:lineRule="auto"/>
      </w:pPr>
      <w:r>
        <w:separator/>
      </w:r>
    </w:p>
  </w:footnote>
  <w:footnote w:type="continuationSeparator" w:id="0">
    <w:p w:rsidR="00A17D5E" w:rsidRDefault="00A17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8C7" w:rsidRDefault="00A17D5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5359400</wp:posOffset>
              </wp:positionH>
              <wp:positionV relativeFrom="paragraph">
                <wp:posOffset>0</wp:posOffset>
              </wp:positionV>
              <wp:extent cx="33655" cy="33655"/>
              <wp:effectExtent l="0" t="0" r="0" b="0"/>
              <wp:wrapSquare wrapText="bothSides" distT="0" distB="0" distL="0" distR="0"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8698" y="3772698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9E78C7" w:rsidRDefault="00A17D5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PAGE2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5359400</wp:posOffset>
              </wp:positionH>
              <wp:positionV relativeFrom="paragraph">
                <wp:posOffset>0</wp:posOffset>
              </wp:positionV>
              <wp:extent cx="33655" cy="33655"/>
              <wp:effectExtent b="0" l="0" r="0" t="0"/>
              <wp:wrapSquare wrapText="bothSides" distB="0" distT="0" distL="0" distR="0"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655" cy="336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9E78C7" w:rsidRDefault="009E78C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C7"/>
    <w:rsid w:val="002A5E5C"/>
    <w:rsid w:val="00880A62"/>
    <w:rsid w:val="009E78C7"/>
    <w:rsid w:val="00A1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32DE5-E6EB-4082-BF25-ACCAA7D2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CF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D5F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D5F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qFormat/>
    <w:rsid w:val="002B0CF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qFormat/>
    <w:rsid w:val="002B0CF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nhideWhenUsed/>
    <w:qFormat/>
    <w:rsid w:val="000D5FCB"/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2B0C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2B0C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nhideWhenUsed/>
    <w:rsid w:val="000D5FC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0D5FC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-Minuta-CLG">
    <w:name w:val="01 - Minuta - CLG"/>
    <w:qFormat/>
    <w:rsid w:val="000D5FCB"/>
    <w:pPr>
      <w:spacing w:after="18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-TtuloPrincipal-CLG">
    <w:name w:val="02 - Título Principal - CLG"/>
    <w:qFormat/>
    <w:rsid w:val="000D5FCB"/>
    <w:pPr>
      <w:spacing w:after="960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03-Ementa-CLG">
    <w:name w:val="03 - Ementa - CLG"/>
    <w:qFormat/>
    <w:rsid w:val="000D5FCB"/>
    <w:pPr>
      <w:spacing w:after="1440"/>
      <w:ind w:left="368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-Justificao-CLG">
    <w:name w:val="06 - Justificação - CLG"/>
    <w:qFormat/>
    <w:rsid w:val="002B0CFB"/>
    <w:pPr>
      <w:keepNext/>
      <w:keepLines/>
      <w:spacing w:before="600" w:after="480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05-Pargrafodetexto-CLG">
    <w:name w:val="05 - Parágrafo de texto - CLG"/>
    <w:qFormat/>
    <w:rsid w:val="000D5FCB"/>
    <w:pPr>
      <w:spacing w:after="360"/>
      <w:ind w:firstLine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09-Local-CLG">
    <w:name w:val="09 - Local - CLG"/>
    <w:qFormat/>
    <w:rsid w:val="000D5FCB"/>
    <w:pPr>
      <w:spacing w:before="960" w:after="720"/>
      <w:ind w:firstLine="25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0-IdentificaoParlamentar-CLG">
    <w:name w:val="10 - Identificação Parlamentar - CLG"/>
    <w:qFormat/>
    <w:rsid w:val="000D5FCB"/>
    <w:pPr>
      <w:spacing w:line="360" w:lineRule="auto"/>
      <w:ind w:left="3402"/>
    </w:pPr>
    <w:rPr>
      <w:rFonts w:ascii="Times New Roman" w:eastAsia="Times New Roman" w:hAnsi="Times New Roman" w:cs="Times New Roman"/>
      <w:color w:val="000000"/>
      <w:sz w:val="28"/>
      <w:szCs w:val="9"/>
    </w:rPr>
  </w:style>
  <w:style w:type="paragraph" w:customStyle="1" w:styleId="03-EmentadeParecer-CLG">
    <w:name w:val="03 - Ementa de Parecer - CLG"/>
    <w:basedOn w:val="Ttulo5"/>
    <w:semiHidden/>
    <w:qFormat/>
    <w:rsid w:val="000D5FCB"/>
    <w:pPr>
      <w:keepLines w:val="0"/>
      <w:spacing w:before="0" w:after="960" w:line="240" w:lineRule="auto"/>
      <w:ind w:left="3686"/>
      <w:jc w:val="both"/>
    </w:pPr>
    <w:rPr>
      <w:rFonts w:ascii="Times New Roman" w:eastAsia="Arial Unicode MS" w:hAnsi="Times New Roman" w:cs="Times New Roman"/>
      <w:color w:val="00000A"/>
      <w:sz w:val="24"/>
      <w:szCs w:val="24"/>
    </w:rPr>
  </w:style>
  <w:style w:type="paragraph" w:customStyle="1" w:styleId="04-Relatoria-CLG">
    <w:name w:val="04 - Relatoria - CLG"/>
    <w:qFormat/>
    <w:rsid w:val="000D5FCB"/>
    <w:pPr>
      <w:spacing w:after="960"/>
      <w:ind w:left="144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07-Citaolegal-CLG">
    <w:name w:val="07 - Citação legal - CLG"/>
    <w:qFormat/>
    <w:rsid w:val="000D5FCB"/>
    <w:pPr>
      <w:spacing w:after="120"/>
      <w:ind w:left="1985" w:firstLine="56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08-Citaolegal-ltimalinha-CLG">
    <w:name w:val="08 - Citação legal - última linha - CLG"/>
    <w:qFormat/>
    <w:rsid w:val="000D5FCB"/>
    <w:pPr>
      <w:spacing w:after="480"/>
      <w:ind w:left="1985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-Ttuloemenda-CLG">
    <w:name w:val="09 - Título emenda - CLG"/>
    <w:basedOn w:val="Ttulo2"/>
    <w:semiHidden/>
    <w:qFormat/>
    <w:rsid w:val="000D5FCB"/>
    <w:pPr>
      <w:keepLines w:val="0"/>
      <w:spacing w:before="480" w:after="360" w:line="240" w:lineRule="auto"/>
      <w:jc w:val="center"/>
    </w:pPr>
    <w:rPr>
      <w:rFonts w:ascii="Times New Roman" w:eastAsia="Times New Roman" w:hAnsi="Times New Roman" w:cs="Times New Roman"/>
      <w:color w:val="00000A"/>
      <w:spacing w:val="-4"/>
      <w:sz w:val="28"/>
      <w:szCs w:val="20"/>
    </w:rPr>
  </w:style>
  <w:style w:type="paragraph" w:customStyle="1" w:styleId="FrameContents">
    <w:name w:val="Frame Contents"/>
    <w:basedOn w:val="Normal"/>
    <w:qFormat/>
  </w:style>
  <w:style w:type="paragraph" w:customStyle="1" w:styleId="04-PargrafodetextoEstudoNotas-CLG">
    <w:name w:val="04 - Parágrafo de texto Estudo Notas - CLG"/>
    <w:link w:val="04-PargrafodetextoEstudoNotas-CLGChar"/>
    <w:qFormat/>
    <w:rsid w:val="000F2537"/>
    <w:pPr>
      <w:spacing w:after="360" w:line="360" w:lineRule="auto"/>
      <w:ind w:firstLine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04-PargrafodetextoEstudoNotas-CLGChar">
    <w:name w:val="04 - Parágrafo de texto Estudo Notas - CLG Char"/>
    <w:basedOn w:val="Fontepargpadro"/>
    <w:link w:val="04-PargrafodetextoEstudoNotas-CLG"/>
    <w:rsid w:val="000F253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F253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F2537"/>
    <w:rPr>
      <w:sz w:val="20"/>
      <w:szCs w:val="20"/>
    </w:rPr>
  </w:style>
  <w:style w:type="paragraph" w:styleId="Reviso">
    <w:name w:val="Revision"/>
    <w:hidden/>
    <w:uiPriority w:val="99"/>
    <w:semiHidden/>
    <w:rsid w:val="00AF1D94"/>
  </w:style>
  <w:style w:type="paragraph" w:styleId="Textodebalo">
    <w:name w:val="Balloon Text"/>
    <w:basedOn w:val="Normal"/>
    <w:link w:val="TextodebaloChar"/>
    <w:uiPriority w:val="99"/>
    <w:semiHidden/>
    <w:unhideWhenUsed/>
    <w:rsid w:val="00CE6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612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82653A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65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653A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OMe/hEjrtIEGhSfSR6y3ZhzzFA==">AMUW2mXGhoWerC968QQBMTCoHNLdZgAmL5dLL/2fRyIVJNO4fC/OGUfplNsWs+4uLtDabQpEs83wIbTEEu2JyT/AqVl+fJP1/U9uTM+SG7NLyZwj9Y7YhhHZpLDTDOd3MHbKQr7fy7uH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678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Senado Federal</Company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conleg@senado.leg.br</dc:creator>
  <cp:lastModifiedBy>Roberta Maria Correa de Assis</cp:lastModifiedBy>
  <cp:revision>4</cp:revision>
  <dcterms:created xsi:type="dcterms:W3CDTF">2022-06-30T18:14:00Z</dcterms:created>
  <dcterms:modified xsi:type="dcterms:W3CDTF">2022-06-30T18:14:00Z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Senado Federal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-995663505</vt:i4>
  </property>
</Properties>
</file>