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A193B" w:rsidRDefault="00DA037F" w:rsidP="0066448B">
      <w:pPr>
        <w:pBdr>
          <w:top w:val="nil"/>
          <w:left w:val="nil"/>
          <w:bottom w:val="nil"/>
          <w:right w:val="nil"/>
          <w:between w:val="nil"/>
        </w:pBdr>
        <w:spacing w:after="960" w:line="240" w:lineRule="auto"/>
        <w:ind w:left="-2" w:firstLineChars="0"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PROJETO DE LEI DO SENADO JOVEM Nº 1</w:t>
      </w:r>
      <w:bookmarkStart w:id="0" w:name="bookmark=id.gjdgxs" w:colFirst="0" w:colLast="0"/>
      <w:bookmarkEnd w:id="0"/>
      <w:r>
        <w:rPr>
          <w:b/>
          <w:color w:val="000000"/>
          <w:sz w:val="32"/>
          <w:szCs w:val="32"/>
        </w:rPr>
        <w:t>, DE 2022</w:t>
      </w:r>
    </w:p>
    <w:p w14:paraId="00000002" w14:textId="77777777" w:rsidR="002A193B" w:rsidRDefault="00DA037F" w:rsidP="0066448B">
      <w:pPr>
        <w:pBdr>
          <w:top w:val="nil"/>
          <w:left w:val="nil"/>
          <w:bottom w:val="nil"/>
          <w:right w:val="nil"/>
          <w:between w:val="nil"/>
        </w:pBdr>
        <w:spacing w:after="1440" w:line="240" w:lineRule="auto"/>
        <w:ind w:leftChars="0" w:left="4320" w:firstLineChars="0" w:firstLine="720"/>
        <w:jc w:val="both"/>
        <w:rPr>
          <w:color w:val="000000"/>
        </w:rPr>
      </w:pPr>
      <w:bookmarkStart w:id="1" w:name="_GoBack"/>
      <w:bookmarkEnd w:id="1"/>
      <w:r>
        <w:rPr>
          <w:color w:val="000000"/>
        </w:rPr>
        <w:t>Institui a Semana Nacional de Incentivo à Educação Política no âmbito do ensino fundamental II e médio no país.</w:t>
      </w:r>
    </w:p>
    <w:p w14:paraId="00000003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 CONGRESSO NACIONAL decreta:</w:t>
      </w:r>
    </w:p>
    <w:p w14:paraId="00000004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 1º</w:t>
      </w:r>
      <w:r>
        <w:rPr>
          <w:color w:val="000000"/>
          <w:sz w:val="28"/>
          <w:szCs w:val="28"/>
        </w:rPr>
        <w:t xml:space="preserve"> Esta Lei institui a Semana Nacional de Incentivo à Educação Política nas escolas de ensino fundamental II, a partir dos dois anos finais, e médio no país, com o objetivo de conscientizar os estudantes sobre temas relacionados à política nacional, tais com</w:t>
      </w:r>
      <w:r>
        <w:rPr>
          <w:color w:val="000000"/>
          <w:sz w:val="28"/>
          <w:szCs w:val="28"/>
        </w:rPr>
        <w:t>o:</w:t>
      </w:r>
    </w:p>
    <w:p w14:paraId="00000005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– noções de desenvolvimento de políticas públicas;</w:t>
      </w:r>
    </w:p>
    <w:p w14:paraId="00000006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 – orçamento público;</w:t>
      </w:r>
    </w:p>
    <w:p w14:paraId="00000007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III – funcionamento dos três poderes; </w:t>
      </w:r>
    </w:p>
    <w:p w14:paraId="00000008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IV – competências dos entes federativos;</w:t>
      </w:r>
    </w:p>
    <w:p w14:paraId="00000009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 – noções de direito constitucional;</w:t>
      </w:r>
    </w:p>
    <w:p w14:paraId="0000000A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VI – espécies legislativas; e</w:t>
      </w:r>
    </w:p>
    <w:p w14:paraId="0000000B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VII – cidadania e direitos fundamentais.   </w:t>
      </w:r>
    </w:p>
    <w:p w14:paraId="0000000C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Art. 2º </w:t>
      </w:r>
      <w:r>
        <w:rPr>
          <w:color w:val="000000"/>
          <w:sz w:val="28"/>
          <w:szCs w:val="28"/>
        </w:rPr>
        <w:t xml:space="preserve">A Semana Nacional de que trata o art.1º será realizada na semana que compreender o dia 5 de outubro, incluindo as seguintes atividades: </w:t>
      </w:r>
    </w:p>
    <w:p w14:paraId="0000000D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– seminários; </w:t>
      </w:r>
    </w:p>
    <w:p w14:paraId="0000000E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 – palestras;</w:t>
      </w:r>
    </w:p>
    <w:p w14:paraId="0000000F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 – oficinas;</w:t>
      </w:r>
    </w:p>
    <w:p w14:paraId="00000010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IV – atividades le</w:t>
      </w:r>
      <w:r>
        <w:rPr>
          <w:color w:val="000000"/>
          <w:sz w:val="28"/>
          <w:szCs w:val="28"/>
        </w:rPr>
        <w:t>tivas; e</w:t>
      </w:r>
    </w:p>
    <w:p w14:paraId="00000011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 – visitações a casas legislativas.</w:t>
      </w:r>
    </w:p>
    <w:p w14:paraId="00000012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 3º</w:t>
      </w:r>
      <w:r>
        <w:rPr>
          <w:color w:val="000000"/>
          <w:sz w:val="28"/>
          <w:szCs w:val="28"/>
        </w:rPr>
        <w:t xml:space="preserve"> As atividades realizadas na Semana Nacional de que trata o art. 1° deverão constar de relatório a ser dada ampla publicidade, incluindo disponibilidade em portal da internet do órgão de educação da unidade federativa.</w:t>
      </w:r>
    </w:p>
    <w:p w14:paraId="00000013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 4°</w:t>
      </w:r>
      <w:r>
        <w:rPr>
          <w:color w:val="000000"/>
          <w:sz w:val="28"/>
          <w:szCs w:val="28"/>
        </w:rPr>
        <w:t xml:space="preserve"> Esta Lei entra em vigor na da</w:t>
      </w:r>
      <w:r>
        <w:rPr>
          <w:color w:val="000000"/>
          <w:sz w:val="28"/>
          <w:szCs w:val="28"/>
        </w:rPr>
        <w:t>ta de sua publicação, com efeitos a partir do ano subsequente.</w:t>
      </w:r>
    </w:p>
    <w:p w14:paraId="00000014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before="600" w:after="48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JUSTIFICAÇÃO</w:t>
      </w:r>
    </w:p>
    <w:p w14:paraId="00000015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Atualmente, os jovens estão saindo das escolas sem formação de cidadania e sobre assuntos da política nacional, o que inclusive, prejudica a formação do jovem como eleitor e suas próprias escolhas por meio do voto. Como vimos este ano, a adesão espontânea </w:t>
      </w:r>
      <w:r>
        <w:rPr>
          <w:color w:val="000000"/>
          <w:sz w:val="28"/>
          <w:szCs w:val="28"/>
        </w:rPr>
        <w:t>do jovem menor entre 16 e 18 anos no alistamento eleitoral foi baixa, o que nos traz preocupação.</w:t>
      </w:r>
    </w:p>
    <w:p w14:paraId="00000016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Temos observado nas escolas ações para conscientização sobre várias temáticas diferentes para formação dos jovens. No entanto, constatamos que não há uma inic</w:t>
      </w:r>
      <w:r>
        <w:rPr>
          <w:color w:val="000000"/>
          <w:sz w:val="28"/>
          <w:szCs w:val="28"/>
        </w:rPr>
        <w:t>iativa no sentido de preencher essa lacuna hoje existente, no que concerne a questões relativas à formação política no país.</w:t>
      </w:r>
    </w:p>
    <w:p w14:paraId="00000017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Hoje, os jovens em geral não demonstram interesse sobre a política, que como sabemos é tema central na organização da nossa vida em</w:t>
      </w:r>
      <w:r>
        <w:rPr>
          <w:color w:val="000000"/>
          <w:sz w:val="28"/>
          <w:szCs w:val="28"/>
        </w:rPr>
        <w:t xml:space="preserve"> sociedade. Nesse sentido, precisamos mudar esse quadro, até como um estímulo ao desenvolvimento de capacidades políticas da nova geração, para que venham até a ocuparem os espaços públicos do país.</w:t>
      </w:r>
    </w:p>
    <w:p w14:paraId="00000018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Uma das finalidades do nosso projeto é engajar os jovens </w:t>
      </w:r>
      <w:r>
        <w:rPr>
          <w:color w:val="000000"/>
          <w:sz w:val="28"/>
          <w:szCs w:val="28"/>
        </w:rPr>
        <w:t>a se envolverem em temáticas sociais, no intuito de promover mudanças mais amplas e significativas na sociedade brasileira.</w:t>
      </w:r>
    </w:p>
    <w:p w14:paraId="00000019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Nesse contexto, propomos o estabelecimento da Semana Nacional de Incentivo à Educação Política, a ser realizada anualmente e de form</w:t>
      </w:r>
      <w:r>
        <w:rPr>
          <w:color w:val="000000"/>
          <w:sz w:val="28"/>
          <w:szCs w:val="28"/>
        </w:rPr>
        <w:t>a simultânea em todas as escolas de ensino fundamental II, a partir dos dois anos finais, e do ensino médio em todo país.</w:t>
      </w:r>
    </w:p>
    <w:p w14:paraId="0000001A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A data escolhida homenageia a promulgação da Constituição Federal de 1988 realizada em 5 de outubro daquele ano, como forma de enaltec</w:t>
      </w:r>
      <w:r>
        <w:rPr>
          <w:color w:val="000000"/>
          <w:sz w:val="28"/>
          <w:szCs w:val="28"/>
        </w:rPr>
        <w:t>er sua importância e incentivar sua defesa contra retrocessos políticos que visem enfraquecer direitos e garantias fundamentais protegidos na Carta Magna.</w:t>
      </w:r>
    </w:p>
    <w:p w14:paraId="0000001B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Rogamos apoio dos nobres Pares para aprovar tão importante projeto para a formação dos jovens do país</w:t>
      </w:r>
      <w:r>
        <w:rPr>
          <w:color w:val="000000"/>
          <w:sz w:val="28"/>
          <w:szCs w:val="28"/>
        </w:rPr>
        <w:t>.</w:t>
      </w:r>
    </w:p>
    <w:p w14:paraId="0000001C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Sala das Sessões, </w:t>
      </w:r>
    </w:p>
    <w:p w14:paraId="0000001D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Comissão Cecília Meireles</w:t>
      </w:r>
    </w:p>
    <w:p w14:paraId="0000001E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Jovem Senadora </w:t>
      </w:r>
      <w:r>
        <w:rPr>
          <w:smallCaps/>
          <w:color w:val="000000"/>
          <w:sz w:val="28"/>
          <w:szCs w:val="28"/>
        </w:rPr>
        <w:t>ANA LETÍCIA GUEDES</w:t>
      </w:r>
      <w:r>
        <w:rPr>
          <w:color w:val="000000"/>
          <w:sz w:val="28"/>
          <w:szCs w:val="28"/>
        </w:rPr>
        <w:t xml:space="preserve">  </w:t>
      </w:r>
    </w:p>
    <w:p w14:paraId="0000001F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Jovem Senadora </w:t>
      </w:r>
      <w:r>
        <w:rPr>
          <w:smallCaps/>
          <w:color w:val="000000"/>
          <w:sz w:val="28"/>
          <w:szCs w:val="28"/>
        </w:rPr>
        <w:t>ANNA CLARA MIRANDELA</w:t>
      </w:r>
    </w:p>
    <w:p w14:paraId="00000020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Jovem Senadora </w:t>
      </w:r>
      <w:r>
        <w:rPr>
          <w:smallCaps/>
          <w:color w:val="000000"/>
          <w:sz w:val="28"/>
          <w:szCs w:val="28"/>
        </w:rPr>
        <w:t>QUÉREN HAPUQUE LIMA</w:t>
      </w:r>
    </w:p>
    <w:p w14:paraId="00000021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 CAUÃ DE OLIVEIRA</w:t>
      </w:r>
    </w:p>
    <w:p w14:paraId="00000022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Senadora HELEN PELLACANI</w:t>
      </w:r>
    </w:p>
    <w:p w14:paraId="00000023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Senadora JAMILY MARQUES</w:t>
      </w:r>
    </w:p>
    <w:p w14:paraId="00000024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Senadora MARA DANIELLA CARDOSO</w:t>
      </w:r>
    </w:p>
    <w:p w14:paraId="00000025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Jovem Senadora NICOLLE DE LIMA </w:t>
      </w:r>
    </w:p>
    <w:p w14:paraId="00000026" w14:textId="77777777" w:rsidR="002A193B" w:rsidRDefault="00DA03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Jovem Senadora VITÓRIA DIAS </w:t>
      </w:r>
    </w:p>
    <w:sectPr w:rsidR="002A193B">
      <w:headerReference w:type="even" r:id="rId7"/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A1398" w14:textId="77777777" w:rsidR="00DA037F" w:rsidRDefault="00DA037F">
      <w:pPr>
        <w:spacing w:line="240" w:lineRule="auto"/>
        <w:ind w:left="0" w:hanging="2"/>
      </w:pPr>
      <w:r>
        <w:separator/>
      </w:r>
    </w:p>
  </w:endnote>
  <w:endnote w:type="continuationSeparator" w:id="0">
    <w:p w14:paraId="589CB53D" w14:textId="77777777" w:rsidR="00DA037F" w:rsidRDefault="00DA03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287C4" w14:textId="77777777" w:rsidR="00DA037F" w:rsidRDefault="00DA037F">
      <w:pPr>
        <w:spacing w:line="240" w:lineRule="auto"/>
        <w:ind w:left="0" w:hanging="2"/>
      </w:pPr>
      <w:r>
        <w:separator/>
      </w:r>
    </w:p>
  </w:footnote>
  <w:footnote w:type="continuationSeparator" w:id="0">
    <w:p w14:paraId="612BF9F3" w14:textId="77777777" w:rsidR="00DA037F" w:rsidRDefault="00DA037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A" w14:textId="77777777" w:rsidR="002A193B" w:rsidRDefault="00DA03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2B" w14:textId="77777777" w:rsidR="002A193B" w:rsidRDefault="002A19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  <w:p w14:paraId="0000002C" w14:textId="77777777" w:rsidR="002A193B" w:rsidRDefault="002A193B">
    <w:pPr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7" w14:textId="77777777" w:rsidR="002A193B" w:rsidRDefault="00DA03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6448B">
      <w:rPr>
        <w:color w:val="000000"/>
      </w:rPr>
      <w:fldChar w:fldCharType="separate"/>
    </w:r>
    <w:r w:rsidR="0066448B">
      <w:rPr>
        <w:noProof/>
        <w:color w:val="000000"/>
      </w:rPr>
      <w:t>3</w:t>
    </w:r>
    <w:r>
      <w:rPr>
        <w:color w:val="000000"/>
      </w:rPr>
      <w:fldChar w:fldCharType="end"/>
    </w:r>
  </w:p>
  <w:p w14:paraId="00000028" w14:textId="77777777" w:rsidR="002A193B" w:rsidRDefault="002A19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  <w:p w14:paraId="00000029" w14:textId="77777777" w:rsidR="002A193B" w:rsidRDefault="002A193B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3B"/>
    <w:rsid w:val="002A193B"/>
    <w:rsid w:val="0066448B"/>
    <w:rsid w:val="00D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F24E6-5179-4AB8-AB79-94A4C556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01-Minuta-CLG">
    <w:name w:val="01 - Minuta - CLG"/>
    <w:pPr>
      <w:suppressAutoHyphens/>
      <w:spacing w:after="18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</w:rPr>
  </w:style>
  <w:style w:type="paragraph" w:customStyle="1" w:styleId="02-TtuloPrincipal-CLG">
    <w:name w:val="02 - Título Principal - CLG"/>
    <w:pPr>
      <w:suppressAutoHyphens/>
      <w:spacing w:after="9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position w:val="-1"/>
      <w:sz w:val="32"/>
    </w:rPr>
  </w:style>
  <w:style w:type="paragraph" w:customStyle="1" w:styleId="03-Ementa-CLG">
    <w:name w:val="03 - Ementa - CLG"/>
    <w:pPr>
      <w:suppressAutoHyphens/>
      <w:spacing w:after="1440" w:line="1" w:lineRule="atLeast"/>
      <w:ind w:leftChars="-1" w:left="3686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06-Justificao-CLG">
    <w:name w:val="06 - Justificação - CLG"/>
    <w:pPr>
      <w:suppressAutoHyphens/>
      <w:spacing w:before="600" w:after="48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position w:val="-1"/>
      <w:sz w:val="28"/>
    </w:rPr>
  </w:style>
  <w:style w:type="paragraph" w:customStyle="1" w:styleId="05-Pargrafodetexto-CLG">
    <w:name w:val="05 - Parágrafo de texto - CLG"/>
    <w:pPr>
      <w:suppressAutoHyphens/>
      <w:spacing w:after="360" w:line="1" w:lineRule="atLeast"/>
      <w:ind w:leftChars="-1" w:left="-1" w:hangingChars="1" w:firstLine="1418"/>
      <w:jc w:val="both"/>
      <w:textDirection w:val="btLr"/>
      <w:textAlignment w:val="top"/>
      <w:outlineLvl w:val="0"/>
    </w:pPr>
    <w:rPr>
      <w:position w:val="-1"/>
      <w:sz w:val="28"/>
    </w:rPr>
  </w:style>
  <w:style w:type="paragraph" w:customStyle="1" w:styleId="09-Local-CLG">
    <w:name w:val="09 - Local - CLG"/>
    <w:pPr>
      <w:suppressAutoHyphens/>
      <w:spacing w:before="960" w:after="720" w:line="1" w:lineRule="atLeast"/>
      <w:ind w:leftChars="-1" w:left="-1" w:hangingChars="1" w:firstLine="2520"/>
      <w:jc w:val="both"/>
      <w:textDirection w:val="btLr"/>
      <w:textAlignment w:val="top"/>
      <w:outlineLvl w:val="0"/>
    </w:pPr>
    <w:rPr>
      <w:position w:val="-1"/>
      <w:sz w:val="28"/>
    </w:rPr>
  </w:style>
  <w:style w:type="paragraph" w:customStyle="1" w:styleId="10-IdentificaoParlamentar-CLG">
    <w:name w:val="10 - Identificação Parlamentar - CLG"/>
    <w:pPr>
      <w:suppressAutoHyphens/>
      <w:spacing w:line="360" w:lineRule="auto"/>
      <w:ind w:leftChars="-1" w:left="3402" w:hangingChars="1" w:hanging="1"/>
      <w:textDirection w:val="btLr"/>
      <w:textAlignment w:val="top"/>
      <w:outlineLvl w:val="0"/>
    </w:pPr>
    <w:rPr>
      <w:color w:val="000000"/>
      <w:position w:val="-1"/>
      <w:sz w:val="28"/>
      <w:szCs w:val="9"/>
    </w:rPr>
  </w:style>
  <w:style w:type="character" w:customStyle="1" w:styleId="01-Minuta-CLGChar">
    <w:name w:val="01 - Minuta - CLG Char"/>
    <w:rPr>
      <w:w w:val="100"/>
      <w:position w:val="-1"/>
      <w:sz w:val="24"/>
      <w:effect w:val="none"/>
      <w:vertAlign w:val="baseline"/>
      <w:cs w:val="0"/>
      <w:em w:val="none"/>
      <w:lang w:val="pt-BR" w:eastAsia="pt-BR" w:bidi="ar-SA"/>
    </w:rPr>
  </w:style>
  <w:style w:type="character" w:customStyle="1" w:styleId="02-TtuloPrincipal-CLGChar">
    <w:name w:val="02 - Título Principal - CLG Char"/>
    <w:rPr>
      <w:b/>
      <w:bCs/>
      <w:w w:val="100"/>
      <w:position w:val="-1"/>
      <w:sz w:val="32"/>
      <w:effect w:val="none"/>
      <w:vertAlign w:val="baseline"/>
      <w:cs w:val="0"/>
      <w:em w:val="none"/>
      <w:lang w:val="pt-BR" w:eastAsia="pt-BR" w:bidi="ar-SA"/>
    </w:rPr>
  </w:style>
  <w:style w:type="character" w:customStyle="1" w:styleId="03-Ementa-CLGChar">
    <w:name w:val="03 - Ementa - CLG Char"/>
    <w:rPr>
      <w:w w:val="100"/>
      <w:position w:val="-1"/>
      <w:sz w:val="24"/>
      <w:effect w:val="none"/>
      <w:vertAlign w:val="baseline"/>
      <w:cs w:val="0"/>
      <w:em w:val="none"/>
      <w:lang w:val="pt-BR" w:eastAsia="pt-BR" w:bidi="ar-SA"/>
    </w:rPr>
  </w:style>
  <w:style w:type="character" w:customStyle="1" w:styleId="05-Pargrafodetexto-CLGChar">
    <w:name w:val="05 - Parágrafo de texto - CLG Char"/>
    <w:rPr>
      <w:w w:val="100"/>
      <w:position w:val="-1"/>
      <w:sz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06-Justificao-CLGChar">
    <w:name w:val="06 - Justificação - CLG Char"/>
    <w:rPr>
      <w:b/>
      <w:bCs/>
      <w:w w:val="100"/>
      <w:position w:val="-1"/>
      <w:sz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09-Local-CLGChar">
    <w:name w:val="09 - Local - CLG Char"/>
    <w:rPr>
      <w:w w:val="100"/>
      <w:position w:val="-1"/>
      <w:sz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10-IdentificaoParlamentar-CLGChar">
    <w:name w:val="10 - Identificação Parlamentar - CLG Char"/>
    <w:rPr>
      <w:color w:val="000000"/>
      <w:w w:val="100"/>
      <w:position w:val="-1"/>
      <w:sz w:val="28"/>
      <w:szCs w:val="9"/>
      <w:effect w:val="none"/>
      <w:vertAlign w:val="baseline"/>
      <w:cs w:val="0"/>
      <w:em w:val="none"/>
      <w:lang w:val="pt-BR" w:eastAsia="pt-BR" w:bidi="ar-SA"/>
    </w:rPr>
  </w:style>
  <w:style w:type="paragraph" w:customStyle="1" w:styleId="03-EmentadeParecer-CLG">
    <w:name w:val="03 - Ementa de Parecer - CLG"/>
    <w:basedOn w:val="Ttulo5"/>
    <w:pPr>
      <w:spacing w:before="0" w:after="960"/>
      <w:ind w:left="3686"/>
      <w:jc w:val="both"/>
    </w:pPr>
    <w:rPr>
      <w:b w:val="0"/>
      <w:bCs w:val="0"/>
      <w:i w:val="0"/>
      <w:iCs w:val="0"/>
      <w:sz w:val="24"/>
      <w:szCs w:val="24"/>
    </w:rPr>
  </w:style>
  <w:style w:type="paragraph" w:customStyle="1" w:styleId="04-Relatoria-CLG">
    <w:name w:val="04 - Relatoria - CLG"/>
    <w:pPr>
      <w:suppressAutoHyphens/>
      <w:spacing w:after="960" w:line="1" w:lineRule="atLeast"/>
      <w:ind w:leftChars="-1" w:left="1440" w:hangingChars="1" w:hanging="1"/>
      <w:textDirection w:val="btLr"/>
      <w:textAlignment w:val="top"/>
      <w:outlineLvl w:val="0"/>
    </w:pPr>
    <w:rPr>
      <w:position w:val="-1"/>
      <w:sz w:val="28"/>
    </w:rPr>
  </w:style>
  <w:style w:type="paragraph" w:customStyle="1" w:styleId="07-Citaolegal-CLG">
    <w:name w:val="07 - Citação legal - CLG"/>
    <w:pPr>
      <w:suppressAutoHyphens/>
      <w:spacing w:after="120" w:line="1" w:lineRule="atLeast"/>
      <w:ind w:leftChars="-1" w:left="1985" w:hangingChars="1" w:firstLine="567"/>
      <w:jc w:val="both"/>
      <w:textDirection w:val="btLr"/>
      <w:textAlignment w:val="top"/>
      <w:outlineLvl w:val="0"/>
    </w:pPr>
    <w:rPr>
      <w:bCs/>
      <w:position w:val="-1"/>
    </w:rPr>
  </w:style>
  <w:style w:type="paragraph" w:customStyle="1" w:styleId="08-Citaolegal-ltimalinha-CLG">
    <w:name w:val="08 - Citação legal - última linha - CLG"/>
    <w:pPr>
      <w:suppressAutoHyphens/>
      <w:spacing w:after="480" w:line="1" w:lineRule="atLeast"/>
      <w:ind w:leftChars="-1" w:left="1985" w:hangingChars="1" w:firstLine="567"/>
      <w:jc w:val="both"/>
      <w:textDirection w:val="btLr"/>
      <w:textAlignment w:val="top"/>
      <w:outlineLvl w:val="0"/>
    </w:pPr>
    <w:rPr>
      <w:position w:val="-1"/>
    </w:rPr>
  </w:style>
  <w:style w:type="paragraph" w:customStyle="1" w:styleId="09-Ttuloemenda-CLG">
    <w:name w:val="09 - Título emenda - CLG"/>
    <w:basedOn w:val="Ttulo2"/>
    <w:pPr>
      <w:spacing w:before="480" w:after="360"/>
      <w:jc w:val="center"/>
    </w:pPr>
    <w:rPr>
      <w:rFonts w:ascii="Times New Roman" w:hAnsi="Times New Roman" w:cs="Times New Roman"/>
      <w:i w:val="0"/>
      <w:iCs w:val="0"/>
      <w:spacing w:val="-4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rtigo">
    <w:name w:val="artigo"/>
    <w:basedOn w:val="Normal"/>
    <w:pPr>
      <w:spacing w:before="100" w:beforeAutospacing="1" w:after="100" w:afterAutospacing="1"/>
    </w:pPr>
  </w:style>
  <w:style w:type="paragraph" w:customStyle="1" w:styleId="04-PargrafodetextoEstudoNotas-CLG">
    <w:name w:val="04 - Parágrafo de texto Estudo Notas - CLG"/>
    <w:pPr>
      <w:suppressAutoHyphens/>
      <w:spacing w:after="360" w:line="360" w:lineRule="auto"/>
      <w:ind w:leftChars="-1" w:left="-1" w:hangingChars="1" w:firstLine="1418"/>
      <w:jc w:val="both"/>
      <w:textDirection w:val="btLr"/>
      <w:textAlignment w:val="top"/>
      <w:outlineLvl w:val="0"/>
    </w:pPr>
    <w:rPr>
      <w:position w:val="-1"/>
      <w:sz w:val="28"/>
    </w:rPr>
  </w:style>
  <w:style w:type="paragraph" w:customStyle="1" w:styleId="08-IdentificaoConsultor-CargoEstudoNota-CLG">
    <w:name w:val="08 - Identificação Consultor-Cargo Estudo Nota - CLG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</w:rPr>
  </w:style>
  <w:style w:type="character" w:customStyle="1" w:styleId="04-PargrafodetextoEstudoNotas-CLGChar">
    <w:name w:val="04 - Parágrafo de texto Estudo Notas - CLG Char"/>
    <w:rPr>
      <w:w w:val="100"/>
      <w:position w:val="-1"/>
      <w:sz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08-IdentificaoConsultor-CargoEstudoNota-CLGChar">
    <w:name w:val="08 - Identificação Consultor-Cargo Estudo Nota - CLG Char"/>
    <w:rPr>
      <w:w w:val="100"/>
      <w:position w:val="-1"/>
      <w:sz w:val="28"/>
      <w:effect w:val="none"/>
      <w:vertAlign w:val="baseline"/>
      <w:cs w:val="0"/>
      <w:em w:val="none"/>
      <w:lang w:val="pt-BR" w:eastAsia="pt-BR" w:bidi="ar-SA"/>
    </w:rPr>
  </w:style>
  <w:style w:type="paragraph" w:customStyle="1" w:styleId="05-Citaolegal-linhasiniciais-CLG">
    <w:name w:val="05 - Citação legal - linhas iniciais - CLG"/>
    <w:pPr>
      <w:suppressAutoHyphens/>
      <w:spacing w:after="120" w:line="1" w:lineRule="atLeast"/>
      <w:ind w:leftChars="-1" w:left="1985" w:hangingChars="1" w:firstLine="567"/>
      <w:jc w:val="both"/>
      <w:textDirection w:val="btLr"/>
      <w:textAlignment w:val="top"/>
      <w:outlineLvl w:val="0"/>
    </w:pPr>
    <w:rPr>
      <w:bCs/>
      <w:position w:val="-1"/>
    </w:rPr>
  </w:style>
  <w:style w:type="paragraph" w:customStyle="1" w:styleId="06-Citaolegal-linhafinal-CLG">
    <w:name w:val="06 - Citação legal - linha final - CLG"/>
    <w:pPr>
      <w:suppressAutoHyphens/>
      <w:spacing w:after="480" w:line="1" w:lineRule="atLeast"/>
      <w:ind w:leftChars="-1" w:left="1985" w:hangingChars="1" w:firstLine="567"/>
      <w:jc w:val="both"/>
      <w:textDirection w:val="btLr"/>
      <w:textAlignment w:val="top"/>
      <w:outlineLvl w:val="0"/>
    </w:pPr>
    <w:rPr>
      <w:position w:val="-1"/>
    </w:rPr>
  </w:style>
  <w:style w:type="character" w:customStyle="1" w:styleId="highlightbrs">
    <w:name w:val="highlightbrs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rgGFiyJKmCwTBt87R5QJCDfMjg==">AMUW2mUW8nOImqSYCSD/TD0BxgUuyFbrSQrUZtO4DaJw+nQNWj0xExfDiPfKrRxoPeYwk2r3nM66Xr8wJBvjozmLBnZABjej8dTpwD5vc8dLFRbMIf2BEddxLTv6QQi4igICPa8SXB9h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Jorge Araujo Vieira Junior</dc:creator>
  <cp:lastModifiedBy>Roberta Maria Correa de Assis</cp:lastModifiedBy>
  <cp:revision>2</cp:revision>
  <dcterms:created xsi:type="dcterms:W3CDTF">2022-06-30T18:16:00Z</dcterms:created>
  <dcterms:modified xsi:type="dcterms:W3CDTF">2022-06-30T18:16:00Z</dcterms:modified>
</cp:coreProperties>
</file>